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eastAsia="方正仿宋简体"/>
          <w:lang w:eastAsia="zh-CN"/>
        </w:rPr>
      </w:pPr>
      <w:r>
        <w:rPr>
          <w:rFonts w:eastAsia="方正仿宋简体"/>
        </w:rPr>
        <w:t>附件</w:t>
      </w:r>
      <w:r>
        <w:rPr>
          <w:rFonts w:hint="eastAsia" w:eastAsia="方正仿宋简体"/>
          <w:lang w:eastAsia="zh-CN"/>
        </w:rPr>
        <w:t>：</w:t>
      </w:r>
      <w:bookmarkStart w:id="0" w:name="_GoBack"/>
      <w:bookmarkEnd w:id="0"/>
    </w:p>
    <w:p>
      <w:pPr>
        <w:pStyle w:val="2"/>
        <w:ind w:left="0" w:leftChars="0" w:firstLine="0" w:firstLineChars="0"/>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永仁县2024年危险化学品重点工作任务清单</w:t>
      </w:r>
    </w:p>
    <w:tbl>
      <w:tblPr>
        <w:tblStyle w:val="7"/>
        <w:tblpPr w:vertAnchor="text" w:tblpXSpec="center" w:tblpY="1"/>
        <w:tblOverlap w:val="never"/>
        <w:tblW w:w="13621" w:type="dxa"/>
        <w:jc w:val="center"/>
        <w:tblLayout w:type="fixed"/>
        <w:tblCellMar>
          <w:top w:w="0" w:type="dxa"/>
          <w:left w:w="108" w:type="dxa"/>
          <w:bottom w:w="0" w:type="dxa"/>
          <w:right w:w="108" w:type="dxa"/>
        </w:tblCellMar>
      </w:tblPr>
      <w:tblGrid>
        <w:gridCol w:w="559"/>
        <w:gridCol w:w="848"/>
        <w:gridCol w:w="1137"/>
        <w:gridCol w:w="3824"/>
        <w:gridCol w:w="1465"/>
        <w:gridCol w:w="1886"/>
        <w:gridCol w:w="2597"/>
        <w:gridCol w:w="1305"/>
      </w:tblGrid>
      <w:tr>
        <w:tblPrEx>
          <w:tblCellMar>
            <w:top w:w="0" w:type="dxa"/>
            <w:left w:w="108" w:type="dxa"/>
            <w:bottom w:w="0" w:type="dxa"/>
            <w:right w:w="108" w:type="dxa"/>
          </w:tblCellMar>
        </w:tblPrEx>
        <w:trPr>
          <w:trHeight w:val="360" w:hRule="atLeast"/>
          <w:jc w:val="center"/>
        </w:trPr>
        <w:tc>
          <w:tcPr>
            <w:tcW w:w="5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黑体" w:hAnsi="宋体" w:eastAsia="黑体" w:cs="黑体"/>
                <w:b/>
                <w:bCs/>
                <w:color w:val="000000"/>
                <w:sz w:val="24"/>
              </w:rPr>
            </w:pPr>
            <w:r>
              <w:rPr>
                <w:rFonts w:ascii="黑体" w:hAnsi="宋体" w:eastAsia="黑体" w:cs="黑体"/>
                <w:b/>
                <w:bCs/>
                <w:color w:val="000000"/>
                <w:kern w:val="0"/>
                <w:sz w:val="24"/>
                <w:lang w:bidi="ar"/>
              </w:rPr>
              <w:t>序号</w:t>
            </w: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ascii="黑体" w:hAnsi="宋体" w:eastAsia="黑体" w:cs="黑体"/>
                <w:b/>
                <w:bCs/>
                <w:color w:val="000000"/>
                <w:kern w:val="0"/>
                <w:sz w:val="24"/>
                <w:lang w:bidi="ar"/>
              </w:rPr>
            </w:pPr>
            <w:r>
              <w:rPr>
                <w:rFonts w:ascii="黑体" w:hAnsi="宋体" w:eastAsia="黑体" w:cs="黑体"/>
                <w:b/>
                <w:bCs/>
                <w:color w:val="000000"/>
                <w:kern w:val="0"/>
                <w:sz w:val="24"/>
                <w:lang w:bidi="ar"/>
              </w:rPr>
              <w:t>工作</w:t>
            </w:r>
          </w:p>
          <w:p>
            <w:pPr>
              <w:widowControl/>
              <w:spacing w:line="280" w:lineRule="exact"/>
              <w:jc w:val="center"/>
              <w:textAlignment w:val="center"/>
              <w:rPr>
                <w:rFonts w:ascii="黑体" w:hAnsi="宋体" w:eastAsia="黑体" w:cs="黑体"/>
                <w:b/>
                <w:bCs/>
                <w:color w:val="000000"/>
                <w:sz w:val="24"/>
              </w:rPr>
            </w:pPr>
            <w:r>
              <w:rPr>
                <w:rFonts w:ascii="黑体" w:hAnsi="宋体" w:eastAsia="黑体" w:cs="黑体"/>
                <w:b/>
                <w:bCs/>
                <w:color w:val="000000"/>
                <w:kern w:val="0"/>
                <w:sz w:val="24"/>
                <w:lang w:bidi="ar"/>
              </w:rPr>
              <w:t>重点</w:t>
            </w:r>
          </w:p>
        </w:tc>
        <w:tc>
          <w:tcPr>
            <w:tcW w:w="11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黑体" w:hAnsi="宋体" w:eastAsia="黑体" w:cs="黑体"/>
                <w:b/>
                <w:bCs/>
                <w:color w:val="000000"/>
                <w:sz w:val="24"/>
              </w:rPr>
            </w:pPr>
            <w:r>
              <w:rPr>
                <w:rFonts w:ascii="黑体" w:hAnsi="宋体" w:eastAsia="黑体" w:cs="黑体"/>
                <w:b/>
                <w:bCs/>
                <w:color w:val="000000"/>
                <w:kern w:val="0"/>
                <w:sz w:val="24"/>
                <w:lang w:bidi="ar"/>
              </w:rPr>
              <w:t>工作任务</w:t>
            </w:r>
          </w:p>
        </w:tc>
        <w:tc>
          <w:tcPr>
            <w:tcW w:w="38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黑体" w:hAnsi="宋体" w:eastAsia="黑体" w:cs="黑体"/>
                <w:b/>
                <w:bCs/>
                <w:color w:val="000000"/>
                <w:sz w:val="24"/>
              </w:rPr>
            </w:pPr>
            <w:r>
              <w:rPr>
                <w:rFonts w:ascii="黑体" w:hAnsi="宋体" w:eastAsia="黑体" w:cs="黑体"/>
                <w:b/>
                <w:bCs/>
                <w:color w:val="000000"/>
                <w:kern w:val="0"/>
                <w:sz w:val="24"/>
                <w:lang w:bidi="ar"/>
              </w:rPr>
              <w:t>任务清单</w:t>
            </w:r>
          </w:p>
        </w:tc>
        <w:tc>
          <w:tcPr>
            <w:tcW w:w="14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黑体" w:hAnsi="宋体" w:eastAsia="黑体" w:cs="黑体"/>
                <w:b/>
                <w:bCs/>
                <w:color w:val="000000"/>
                <w:sz w:val="24"/>
              </w:rPr>
            </w:pPr>
            <w:r>
              <w:rPr>
                <w:rFonts w:ascii="黑体" w:hAnsi="宋体" w:eastAsia="黑体" w:cs="黑体"/>
                <w:b/>
                <w:bCs/>
                <w:color w:val="000000"/>
                <w:kern w:val="0"/>
                <w:sz w:val="24"/>
                <w:lang w:bidi="ar"/>
              </w:rPr>
              <w:t>完成时限</w:t>
            </w:r>
          </w:p>
        </w:tc>
        <w:tc>
          <w:tcPr>
            <w:tcW w:w="44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黑体" w:hAnsi="宋体" w:eastAsia="黑体" w:cs="黑体"/>
                <w:b/>
                <w:bCs/>
                <w:color w:val="000000"/>
                <w:sz w:val="24"/>
              </w:rPr>
            </w:pPr>
            <w:r>
              <w:rPr>
                <w:rFonts w:ascii="黑体" w:hAnsi="宋体" w:eastAsia="黑体" w:cs="黑体"/>
                <w:b/>
                <w:bCs/>
                <w:color w:val="000000"/>
                <w:kern w:val="0"/>
                <w:sz w:val="24"/>
                <w:lang w:bidi="ar"/>
              </w:rPr>
              <w:t>责任分工</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黑体" w:hAnsi="宋体" w:eastAsia="黑体" w:cs="黑体"/>
                <w:b/>
                <w:bCs/>
                <w:color w:val="000000"/>
                <w:sz w:val="24"/>
              </w:rPr>
            </w:pPr>
            <w:r>
              <w:rPr>
                <w:rFonts w:ascii="黑体" w:hAnsi="宋体" w:eastAsia="黑体" w:cs="黑体"/>
                <w:b/>
                <w:bCs/>
                <w:color w:val="000000"/>
                <w:kern w:val="0"/>
                <w:sz w:val="24"/>
                <w:lang w:bidi="ar"/>
              </w:rPr>
              <w:t>备  注</w:t>
            </w:r>
          </w:p>
        </w:tc>
      </w:tr>
      <w:tr>
        <w:tblPrEx>
          <w:tblCellMar>
            <w:top w:w="0" w:type="dxa"/>
            <w:left w:w="108" w:type="dxa"/>
            <w:bottom w:w="0" w:type="dxa"/>
            <w:right w:w="108" w:type="dxa"/>
          </w:tblCellMar>
        </w:tblPrEx>
        <w:trPr>
          <w:trHeight w:val="360" w:hRule="atLeast"/>
          <w:jc w:val="center"/>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黑体" w:hAnsi="宋体" w:eastAsia="黑体" w:cs="黑体"/>
                <w:color w:val="000000"/>
                <w:sz w:val="24"/>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黑体" w:hAnsi="宋体" w:eastAsia="黑体" w:cs="黑体"/>
                <w:color w:val="000000"/>
                <w:sz w:val="24"/>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黑体" w:hAnsi="宋体" w:eastAsia="黑体" w:cs="黑体"/>
                <w:color w:val="000000"/>
                <w:sz w:val="24"/>
              </w:rPr>
            </w:pPr>
          </w:p>
        </w:tc>
        <w:tc>
          <w:tcPr>
            <w:tcW w:w="38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黑体" w:hAnsi="宋体" w:eastAsia="黑体" w:cs="黑体"/>
                <w:color w:val="000000"/>
                <w:sz w:val="24"/>
              </w:rPr>
            </w:pPr>
          </w:p>
        </w:tc>
        <w:tc>
          <w:tcPr>
            <w:tcW w:w="14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黑体" w:hAnsi="宋体" w:eastAsia="黑体" w:cs="黑体"/>
                <w:color w:val="000000"/>
                <w:sz w:val="24"/>
              </w:rPr>
            </w:pP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黑体" w:hAnsi="宋体" w:eastAsia="黑体" w:cs="黑体"/>
                <w:b/>
                <w:bCs/>
                <w:color w:val="000000"/>
                <w:sz w:val="24"/>
              </w:rPr>
            </w:pPr>
            <w:r>
              <w:rPr>
                <w:rFonts w:hint="eastAsia" w:ascii="黑体" w:hAnsi="宋体" w:eastAsia="黑体" w:cs="黑体"/>
                <w:b/>
                <w:bCs/>
                <w:color w:val="000000"/>
                <w:sz w:val="24"/>
              </w:rPr>
              <w:t>县  级</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黑体" w:hAnsi="宋体" w:eastAsia="黑体" w:cs="黑体"/>
                <w:b/>
                <w:bCs/>
                <w:color w:val="000000"/>
                <w:sz w:val="24"/>
              </w:rPr>
            </w:pPr>
            <w:r>
              <w:rPr>
                <w:rFonts w:hint="eastAsia" w:ascii="黑体" w:hAnsi="宋体" w:eastAsia="黑体" w:cs="黑体"/>
                <w:b/>
                <w:bCs/>
                <w:color w:val="000000"/>
                <w:sz w:val="24"/>
              </w:rPr>
              <w:t>乡   镇</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黑体" w:hAnsi="宋体" w:eastAsia="黑体" w:cs="黑体"/>
                <w:color w:val="000000"/>
                <w:sz w:val="24"/>
              </w:rPr>
            </w:pPr>
          </w:p>
        </w:tc>
      </w:tr>
      <w:tr>
        <w:tblPrEx>
          <w:tblCellMar>
            <w:top w:w="0" w:type="dxa"/>
            <w:left w:w="108" w:type="dxa"/>
            <w:bottom w:w="0" w:type="dxa"/>
            <w:right w:w="108" w:type="dxa"/>
          </w:tblCellMar>
        </w:tblPrEx>
        <w:trPr>
          <w:trHeight w:val="2047" w:hRule="atLeast"/>
          <w:jc w:val="center"/>
        </w:trPr>
        <w:tc>
          <w:tcPr>
            <w:tcW w:w="5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rPr>
            </w:pPr>
            <w:r>
              <w:rPr>
                <w:rFonts w:hint="eastAsia" w:ascii="黑体" w:hAnsi="黑体" w:eastAsia="黑体" w:cs="黑体"/>
                <w:color w:val="000000"/>
                <w:kern w:val="0"/>
                <w:sz w:val="24"/>
                <w:lang w:bidi="ar"/>
              </w:rPr>
              <w:t>一</w:t>
            </w:r>
          </w:p>
        </w:tc>
        <w:tc>
          <w:tcPr>
            <w:tcW w:w="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b/>
                <w:color w:val="000000"/>
                <w:sz w:val="24"/>
              </w:rPr>
            </w:pPr>
            <w:r>
              <w:rPr>
                <w:rFonts w:ascii="楷体" w:hAnsi="楷体" w:eastAsia="楷体" w:cs="楷体"/>
                <w:b/>
                <w:color w:val="000000"/>
                <w:kern w:val="0"/>
                <w:sz w:val="24"/>
                <w:lang w:bidi="ar"/>
              </w:rPr>
              <w:t>防范重大安全风险</w:t>
            </w:r>
          </w:p>
        </w:tc>
        <w:tc>
          <w:tcPr>
            <w:tcW w:w="11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b/>
                <w:color w:val="000000"/>
                <w:sz w:val="24"/>
              </w:rPr>
            </w:pPr>
            <w:r>
              <w:rPr>
                <w:rFonts w:ascii="楷体" w:hAnsi="楷体" w:eastAsia="楷体" w:cs="楷体"/>
                <w:b/>
                <w:color w:val="000000"/>
                <w:kern w:val="0"/>
                <w:sz w:val="24"/>
                <w:lang w:bidi="ar"/>
              </w:rPr>
              <w:t>1.持续防控重大危险源安全风险</w:t>
            </w: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eastAsia="仿宋_GB2312"/>
                <w:color w:val="000000"/>
                <w:sz w:val="24"/>
              </w:rPr>
            </w:pPr>
            <w:r>
              <w:rPr>
                <w:rFonts w:eastAsia="仿宋_GB2312"/>
                <w:color w:val="000000"/>
                <w:kern w:val="0"/>
                <w:sz w:val="24"/>
                <w:lang w:bidi="ar"/>
              </w:rPr>
              <w:t>（1）监督指导企业严格贯彻落实《危险化学品重大危险源企业安全专项检查指导工作指南（试行）》，完善协调联动工作机制，按照应急管理部、省应急管理厅</w:t>
            </w:r>
            <w:r>
              <w:rPr>
                <w:rFonts w:hint="eastAsia" w:eastAsia="仿宋_GB2312"/>
                <w:color w:val="000000"/>
                <w:kern w:val="0"/>
                <w:sz w:val="24"/>
                <w:lang w:bidi="ar"/>
              </w:rPr>
              <w:t>、州应急管理局</w:t>
            </w:r>
            <w:r>
              <w:rPr>
                <w:rFonts w:eastAsia="仿宋_GB2312"/>
                <w:color w:val="000000"/>
                <w:kern w:val="0"/>
                <w:sz w:val="24"/>
                <w:lang w:bidi="ar"/>
              </w:rPr>
              <w:t>部署要求，组织开展1次重大危险源企业“消地协作”安全专项检查指导。</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color w:val="000000"/>
                <w:sz w:val="24"/>
              </w:rPr>
            </w:pPr>
            <w:r>
              <w:rPr>
                <w:rFonts w:eastAsia="仿宋_GB2312"/>
                <w:color w:val="000000"/>
                <w:kern w:val="0"/>
                <w:sz w:val="24"/>
                <w:lang w:bidi="ar"/>
              </w:rPr>
              <w:t>5至8月</w:t>
            </w:r>
            <w:r>
              <w:rPr>
                <w:rFonts w:hint="eastAsia" w:eastAsia="仿宋_GB2312"/>
                <w:color w:val="000000"/>
                <w:kern w:val="0"/>
                <w:sz w:val="24"/>
                <w:lang w:bidi="ar"/>
              </w:rPr>
              <w:t>20日</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eastAsia="仿宋_GB2312"/>
                <w:color w:val="000000"/>
                <w:sz w:val="24"/>
              </w:rPr>
            </w:pPr>
            <w:r>
              <w:rPr>
                <w:rFonts w:eastAsia="仿宋_GB2312"/>
                <w:color w:val="000000"/>
                <w:kern w:val="0"/>
                <w:sz w:val="24"/>
                <w:lang w:bidi="ar"/>
              </w:rPr>
              <w:t>组织自查、报送信息、交叉检查、行政执法</w:t>
            </w:r>
            <w:r>
              <w:rPr>
                <w:rFonts w:hint="eastAsia" w:eastAsia="仿宋_GB2312"/>
                <w:color w:val="000000"/>
                <w:kern w:val="0"/>
                <w:sz w:val="24"/>
                <w:lang w:bidi="ar"/>
              </w:rPr>
              <w:t>。</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eastAsia="仿宋_GB2312"/>
                <w:color w:val="000000"/>
                <w:sz w:val="24"/>
              </w:rPr>
            </w:pPr>
            <w:r>
              <w:rPr>
                <w:rFonts w:eastAsia="仿宋_GB2312"/>
                <w:color w:val="000000"/>
                <w:kern w:val="0"/>
                <w:sz w:val="24"/>
                <w:lang w:bidi="ar"/>
              </w:rPr>
              <w:t>督促企业自查自改和“线上建档”、信息报送，开展</w:t>
            </w:r>
            <w:r>
              <w:rPr>
                <w:rFonts w:hint="eastAsia" w:eastAsia="仿宋_GB2312"/>
                <w:color w:val="000000"/>
                <w:kern w:val="0"/>
                <w:sz w:val="24"/>
                <w:lang w:bidi="ar"/>
              </w:rPr>
              <w:t>执法检查、</w:t>
            </w:r>
            <w:r>
              <w:rPr>
                <w:rFonts w:eastAsia="仿宋_GB2312"/>
                <w:color w:val="000000"/>
                <w:kern w:val="0"/>
                <w:sz w:val="24"/>
                <w:lang w:bidi="ar"/>
              </w:rPr>
              <w:t>行政执法</w:t>
            </w:r>
            <w:r>
              <w:rPr>
                <w:rFonts w:hint="eastAsia" w:eastAsia="仿宋_GB2312"/>
                <w:color w:val="000000"/>
                <w:kern w:val="0"/>
                <w:sz w:val="24"/>
                <w:lang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仿宋_GB2312"/>
                <w:color w:val="000000"/>
                <w:sz w:val="24"/>
              </w:rPr>
            </w:pPr>
          </w:p>
        </w:tc>
      </w:tr>
      <w:tr>
        <w:tblPrEx>
          <w:tblCellMar>
            <w:top w:w="0" w:type="dxa"/>
            <w:left w:w="108" w:type="dxa"/>
            <w:bottom w:w="0" w:type="dxa"/>
            <w:right w:w="108" w:type="dxa"/>
          </w:tblCellMar>
        </w:tblPrEx>
        <w:trPr>
          <w:trHeight w:val="1599" w:hRule="atLeast"/>
          <w:jc w:val="center"/>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color w:val="000000"/>
                <w:sz w:val="24"/>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eastAsia="仿宋_GB2312"/>
                <w:color w:val="000000"/>
                <w:sz w:val="24"/>
              </w:rPr>
            </w:pPr>
            <w:r>
              <w:rPr>
                <w:rFonts w:eastAsia="仿宋_GB2312"/>
                <w:color w:val="000000"/>
                <w:kern w:val="0"/>
                <w:sz w:val="24"/>
                <w:lang w:bidi="ar"/>
              </w:rPr>
              <w:t>（2）督促企业落实安全风险承诺公告制度，运用双重预防机制数字化系统推动重大危险源企业三类包保责任人严格履职，确保在线率和优良率达到9</w:t>
            </w:r>
            <w:r>
              <w:rPr>
                <w:rFonts w:hint="eastAsia" w:eastAsia="仿宋_GB2312"/>
                <w:color w:val="000000"/>
                <w:kern w:val="0"/>
                <w:sz w:val="24"/>
                <w:lang w:bidi="ar"/>
              </w:rPr>
              <w:t>5</w:t>
            </w:r>
            <w:r>
              <w:rPr>
                <w:rFonts w:eastAsia="仿宋_GB2312"/>
                <w:color w:val="000000"/>
                <w:kern w:val="0"/>
                <w:sz w:val="24"/>
                <w:lang w:bidi="ar"/>
              </w:rPr>
              <w:t>%。</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color w:val="000000"/>
                <w:sz w:val="24"/>
              </w:rPr>
            </w:pPr>
            <w:r>
              <w:rPr>
                <w:rFonts w:eastAsia="仿宋_GB2312"/>
                <w:color w:val="000000"/>
                <w:kern w:val="0"/>
                <w:sz w:val="24"/>
                <w:lang w:bidi="ar"/>
              </w:rPr>
              <w:t>持续推进</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eastAsia="仿宋_GB2312"/>
                <w:color w:val="000000"/>
                <w:sz w:val="24"/>
              </w:rPr>
            </w:pPr>
            <w:r>
              <w:rPr>
                <w:rFonts w:eastAsia="仿宋_GB2312"/>
                <w:color w:val="000000"/>
                <w:kern w:val="0"/>
                <w:sz w:val="24"/>
                <w:lang w:bidi="ar"/>
              </w:rPr>
              <w:t>在线</w:t>
            </w:r>
            <w:r>
              <w:rPr>
                <w:rFonts w:hint="eastAsia" w:eastAsia="仿宋_GB2312"/>
                <w:color w:val="000000"/>
                <w:kern w:val="0"/>
                <w:sz w:val="24"/>
                <w:lang w:bidi="ar"/>
              </w:rPr>
              <w:t>督</w:t>
            </w:r>
            <w:r>
              <w:rPr>
                <w:rFonts w:eastAsia="仿宋_GB2312"/>
                <w:color w:val="000000"/>
                <w:kern w:val="0"/>
                <w:sz w:val="24"/>
                <w:lang w:bidi="ar"/>
              </w:rPr>
              <w:t>查、线下</w:t>
            </w:r>
            <w:r>
              <w:rPr>
                <w:rFonts w:hint="eastAsia" w:eastAsia="仿宋_GB2312"/>
                <w:color w:val="000000"/>
                <w:kern w:val="0"/>
                <w:sz w:val="24"/>
                <w:lang w:bidi="ar"/>
              </w:rPr>
              <w:t>检查</w:t>
            </w:r>
            <w:r>
              <w:rPr>
                <w:rFonts w:eastAsia="仿宋_GB2312"/>
                <w:color w:val="000000"/>
                <w:kern w:val="0"/>
                <w:sz w:val="24"/>
                <w:lang w:bidi="ar"/>
              </w:rPr>
              <w:t>、督促整改</w:t>
            </w:r>
            <w:r>
              <w:rPr>
                <w:rFonts w:hint="eastAsia" w:eastAsia="仿宋_GB2312"/>
                <w:color w:val="000000"/>
                <w:kern w:val="0"/>
                <w:sz w:val="24"/>
                <w:lang w:bidi="ar"/>
              </w:rPr>
              <w:t>。</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color w:val="000000"/>
                <w:sz w:val="24"/>
              </w:rPr>
            </w:pPr>
            <w:r>
              <w:rPr>
                <w:rFonts w:eastAsia="仿宋_GB2312"/>
                <w:color w:val="000000"/>
                <w:kern w:val="0"/>
                <w:sz w:val="24"/>
                <w:lang w:bidi="ar"/>
              </w:rPr>
              <w:t>线下检查执法</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仿宋_GB2312"/>
                <w:color w:val="000000"/>
                <w:sz w:val="24"/>
              </w:rPr>
            </w:pPr>
          </w:p>
        </w:tc>
      </w:tr>
      <w:tr>
        <w:tblPrEx>
          <w:tblCellMar>
            <w:top w:w="0" w:type="dxa"/>
            <w:left w:w="108" w:type="dxa"/>
            <w:bottom w:w="0" w:type="dxa"/>
            <w:right w:w="108" w:type="dxa"/>
          </w:tblCellMar>
        </w:tblPrEx>
        <w:trPr>
          <w:trHeight w:val="2315" w:hRule="atLeast"/>
          <w:jc w:val="center"/>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color w:val="000000"/>
                <w:sz w:val="24"/>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eastAsia="仿宋_GB2312"/>
                <w:color w:val="FF0000"/>
                <w:sz w:val="24"/>
              </w:rPr>
            </w:pPr>
            <w:r>
              <w:rPr>
                <w:rFonts w:eastAsia="仿宋_GB2312"/>
                <w:kern w:val="0"/>
                <w:sz w:val="24"/>
                <w:lang w:bidi="ar"/>
              </w:rPr>
              <w:t>（3）宣贯督导落实《化工企业可燃液体常压储罐区安全管理规范》、《危险化学品储罐区安全风险评估分级指南（试行）》，督促指导新建储罐区严格执行规范要求，推动企业对建成时间长、安全风险高的储罐区实施改造提升</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eastAsia="仿宋_GB2312"/>
                <w:color w:val="000000"/>
                <w:sz w:val="24"/>
              </w:rPr>
            </w:pPr>
            <w:r>
              <w:rPr>
                <w:rFonts w:eastAsia="仿宋_GB2312"/>
                <w:color w:val="000000"/>
                <w:kern w:val="0"/>
                <w:sz w:val="24"/>
                <w:lang w:bidi="ar"/>
              </w:rPr>
              <w:t>持续推进</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eastAsia="仿宋_GB2312"/>
                <w:color w:val="000000"/>
                <w:sz w:val="24"/>
              </w:rPr>
            </w:pPr>
            <w:r>
              <w:rPr>
                <w:rFonts w:hint="eastAsia" w:eastAsia="仿宋_GB2312"/>
                <w:color w:val="000000"/>
                <w:sz w:val="24"/>
              </w:rPr>
              <w:t>加强</w:t>
            </w:r>
            <w:r>
              <w:rPr>
                <w:rFonts w:eastAsia="仿宋_GB2312"/>
                <w:color w:val="000000"/>
                <w:sz w:val="24"/>
              </w:rPr>
              <w:t>指导</w:t>
            </w:r>
            <w:r>
              <w:rPr>
                <w:rFonts w:hint="eastAsia" w:eastAsia="仿宋_GB2312"/>
                <w:color w:val="000000"/>
                <w:sz w:val="24"/>
              </w:rPr>
              <w:t>、组织排查、</w:t>
            </w:r>
            <w:r>
              <w:rPr>
                <w:rFonts w:eastAsia="仿宋_GB2312"/>
                <w:color w:val="000000"/>
                <w:sz w:val="24"/>
              </w:rPr>
              <w:t>督促整改</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eastAsia="仿宋_GB2312"/>
                <w:color w:val="000000"/>
                <w:sz w:val="24"/>
              </w:rPr>
            </w:pPr>
            <w:r>
              <w:rPr>
                <w:rFonts w:eastAsia="仿宋_GB2312"/>
                <w:color w:val="000000"/>
                <w:sz w:val="24"/>
              </w:rPr>
              <w:t>组织排查、摸清底数，精准掌握情况、清单化督促整改</w:t>
            </w:r>
            <w:r>
              <w:rPr>
                <w:rFonts w:hint="eastAsia" w:eastAsia="仿宋_GB2312"/>
                <w:color w:val="000000"/>
                <w:sz w:val="24"/>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仿宋_GB2312"/>
                <w:color w:val="000000"/>
                <w:sz w:val="24"/>
              </w:rPr>
            </w:pPr>
          </w:p>
        </w:tc>
      </w:tr>
      <w:tr>
        <w:tblPrEx>
          <w:tblCellMar>
            <w:top w:w="0" w:type="dxa"/>
            <w:left w:w="108" w:type="dxa"/>
            <w:bottom w:w="0" w:type="dxa"/>
            <w:right w:w="108" w:type="dxa"/>
          </w:tblCellMar>
        </w:tblPrEx>
        <w:trPr>
          <w:trHeight w:val="2001" w:hRule="atLeast"/>
          <w:jc w:val="center"/>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color w:val="000000"/>
                <w:sz w:val="24"/>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11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b/>
                <w:color w:val="000000"/>
                <w:sz w:val="24"/>
              </w:rPr>
            </w:pPr>
            <w:r>
              <w:rPr>
                <w:rFonts w:ascii="楷体" w:hAnsi="楷体" w:eastAsia="楷体" w:cs="楷体"/>
                <w:b/>
                <w:color w:val="000000"/>
                <w:kern w:val="0"/>
                <w:sz w:val="24"/>
                <w:lang w:bidi="ar"/>
              </w:rPr>
              <w:t>2.防范危险化学品经营企业安全风险</w:t>
            </w: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eastAsia="仿宋_GB2312"/>
                <w:color w:val="000000"/>
                <w:sz w:val="24"/>
              </w:rPr>
            </w:pPr>
            <w:r>
              <w:rPr>
                <w:rFonts w:eastAsia="仿宋_GB2312"/>
                <w:color w:val="000000"/>
                <w:kern w:val="0"/>
                <w:sz w:val="24"/>
                <w:lang w:bidi="ar"/>
              </w:rPr>
              <w:t>（1）认真执行油气储存企业安全风险管控“4321”长效机制，组织督导油气储存企业对照《油气储存企业安全风险评估细则（试行）》开展1次自评，编制自评报告、评定安全风险等级</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eastAsia="仿宋_GB2312"/>
                <w:color w:val="000000"/>
                <w:sz w:val="24"/>
              </w:rPr>
            </w:pPr>
            <w:r>
              <w:rPr>
                <w:rFonts w:eastAsia="仿宋_GB2312"/>
                <w:color w:val="000000"/>
                <w:kern w:val="0"/>
                <w:sz w:val="24"/>
                <w:lang w:bidi="ar"/>
              </w:rPr>
              <w:t>4月20日前完成</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eastAsia="仿宋_GB2312"/>
                <w:color w:val="000000"/>
                <w:sz w:val="24"/>
              </w:rPr>
            </w:pPr>
            <w:r>
              <w:rPr>
                <w:rFonts w:hint="eastAsia" w:eastAsia="仿宋_GB2312"/>
                <w:color w:val="000000"/>
                <w:kern w:val="0"/>
                <w:sz w:val="24"/>
                <w:lang w:bidi="ar"/>
              </w:rPr>
              <w:t>加强</w:t>
            </w:r>
            <w:r>
              <w:rPr>
                <w:rFonts w:eastAsia="仿宋_GB2312"/>
                <w:color w:val="000000"/>
                <w:kern w:val="0"/>
                <w:sz w:val="24"/>
                <w:lang w:bidi="ar"/>
              </w:rPr>
              <w:t>指导、组织落实、跟踪督促、执法验收</w:t>
            </w:r>
            <w:r>
              <w:rPr>
                <w:rFonts w:hint="eastAsia" w:eastAsia="仿宋_GB2312"/>
                <w:color w:val="000000"/>
                <w:kern w:val="0"/>
                <w:sz w:val="24"/>
                <w:lang w:bidi="ar"/>
              </w:rPr>
              <w:t>。</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eastAsia="仿宋_GB2312"/>
                <w:color w:val="000000"/>
                <w:sz w:val="24"/>
              </w:rPr>
            </w:pPr>
            <w:r>
              <w:rPr>
                <w:rFonts w:eastAsia="仿宋_GB2312"/>
                <w:color w:val="000000"/>
                <w:kern w:val="0"/>
                <w:sz w:val="24"/>
                <w:lang w:bidi="ar"/>
              </w:rPr>
              <w:t>督促落实、督促整改、督促录入</w:t>
            </w:r>
            <w:r>
              <w:rPr>
                <w:rFonts w:hint="eastAsia" w:eastAsia="仿宋_GB2312"/>
                <w:color w:val="000000"/>
                <w:kern w:val="0"/>
                <w:sz w:val="24"/>
                <w:lang w:bidi="ar"/>
              </w:rPr>
              <w:t>。</w:t>
            </w:r>
          </w:p>
        </w:tc>
        <w:tc>
          <w:tcPr>
            <w:tcW w:w="1305" w:type="dxa"/>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仿宋_GB2312"/>
                <w:color w:val="000000"/>
                <w:sz w:val="24"/>
              </w:rPr>
            </w:pPr>
            <w:r>
              <w:rPr>
                <w:rFonts w:hint="eastAsia" w:ascii="仿宋_GB2312" w:hAnsi="宋体" w:eastAsia="仿宋_GB2312" w:cs="仿宋_GB2312"/>
                <w:color w:val="000000"/>
                <w:sz w:val="24"/>
              </w:rPr>
              <w:t>将隐患问题清单等信息录入全国危险化学品安全生产风险监测预警系统。</w:t>
            </w:r>
          </w:p>
        </w:tc>
      </w:tr>
      <w:tr>
        <w:tblPrEx>
          <w:tblCellMar>
            <w:top w:w="0" w:type="dxa"/>
            <w:left w:w="108" w:type="dxa"/>
            <w:bottom w:w="0" w:type="dxa"/>
            <w:right w:w="108" w:type="dxa"/>
          </w:tblCellMar>
        </w:tblPrEx>
        <w:trPr>
          <w:trHeight w:val="1789" w:hRule="atLeast"/>
          <w:jc w:val="center"/>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color w:val="000000"/>
                <w:sz w:val="24"/>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eastAsia="仿宋_GB2312"/>
                <w:color w:val="000000"/>
                <w:sz w:val="24"/>
              </w:rPr>
            </w:pPr>
            <w:r>
              <w:rPr>
                <w:rFonts w:eastAsia="仿宋_GB2312"/>
                <w:color w:val="000000"/>
                <w:kern w:val="0"/>
                <w:sz w:val="24"/>
                <w:lang w:bidi="ar"/>
              </w:rPr>
              <w:t>（2）深化中小油气储存企业专家指导服务，开展2023年专家指导服务发现问题隐患整改“回头看”。</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eastAsia="仿宋_GB2312"/>
                <w:color w:val="000000"/>
                <w:sz w:val="24"/>
              </w:rPr>
            </w:pPr>
            <w:r>
              <w:rPr>
                <w:rFonts w:eastAsia="仿宋_GB2312"/>
                <w:color w:val="000000"/>
                <w:kern w:val="0"/>
                <w:sz w:val="24"/>
                <w:lang w:bidi="ar"/>
              </w:rPr>
              <w:t>6月底前完成指导服务、9月底前完成隐患整改</w:t>
            </w:r>
            <w:r>
              <w:rPr>
                <w:rFonts w:hint="eastAsia" w:eastAsia="仿宋_GB2312"/>
                <w:color w:val="000000"/>
                <w:kern w:val="0"/>
                <w:sz w:val="24"/>
                <w:lang w:bidi="ar"/>
              </w:rPr>
              <w:t>。</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eastAsia="仿宋_GB2312"/>
                <w:color w:val="000000"/>
                <w:sz w:val="24"/>
              </w:rPr>
            </w:pPr>
            <w:r>
              <w:rPr>
                <w:rFonts w:eastAsia="仿宋_GB2312"/>
                <w:color w:val="000000"/>
                <w:kern w:val="0"/>
                <w:sz w:val="24"/>
                <w:lang w:bidi="ar"/>
              </w:rPr>
              <w:t>开展服务、督促落实、整改督办</w:t>
            </w:r>
            <w:r>
              <w:rPr>
                <w:rFonts w:hint="eastAsia" w:eastAsia="仿宋_GB2312"/>
                <w:color w:val="000000"/>
                <w:kern w:val="0"/>
                <w:sz w:val="24"/>
                <w:lang w:bidi="ar"/>
              </w:rPr>
              <w:t>。</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eastAsia="仿宋_GB2312"/>
                <w:color w:val="000000"/>
                <w:sz w:val="24"/>
              </w:rPr>
            </w:pPr>
            <w:r>
              <w:rPr>
                <w:rFonts w:eastAsia="仿宋_GB2312"/>
                <w:color w:val="000000"/>
                <w:kern w:val="0"/>
                <w:sz w:val="24"/>
                <w:lang w:bidi="ar"/>
              </w:rPr>
              <w:t>督促落实、督促整改、督促录入</w:t>
            </w:r>
            <w:r>
              <w:rPr>
                <w:rFonts w:hint="eastAsia" w:eastAsia="仿宋_GB2312"/>
                <w:color w:val="000000"/>
                <w:kern w:val="0"/>
                <w:sz w:val="24"/>
                <w:lang w:bidi="ar"/>
              </w:rPr>
              <w:t>。</w:t>
            </w:r>
          </w:p>
        </w:tc>
        <w:tc>
          <w:tcPr>
            <w:tcW w:w="1305"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仿宋_GB2312"/>
                <w:color w:val="000000"/>
                <w:sz w:val="24"/>
              </w:rPr>
            </w:pPr>
          </w:p>
        </w:tc>
      </w:tr>
      <w:tr>
        <w:tblPrEx>
          <w:tblCellMar>
            <w:top w:w="0" w:type="dxa"/>
            <w:left w:w="108" w:type="dxa"/>
            <w:bottom w:w="0" w:type="dxa"/>
            <w:right w:w="108" w:type="dxa"/>
          </w:tblCellMar>
        </w:tblPrEx>
        <w:trPr>
          <w:trHeight w:val="4560" w:hRule="atLeast"/>
          <w:jc w:val="center"/>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color w:val="000000"/>
                <w:sz w:val="24"/>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eastAsia="仿宋_GB2312"/>
                <w:color w:val="000000"/>
                <w:sz w:val="24"/>
              </w:rPr>
            </w:pPr>
            <w:r>
              <w:rPr>
                <w:rFonts w:eastAsia="仿宋_GB2312"/>
                <w:color w:val="000000"/>
                <w:kern w:val="0"/>
                <w:sz w:val="24"/>
                <w:lang w:bidi="ar"/>
              </w:rPr>
              <w:t>（3）部署开展危险化学品仓库安全风险评估，</w:t>
            </w:r>
            <w:r>
              <w:rPr>
                <w:rStyle w:val="12"/>
                <w:rFonts w:ascii="Times New Roman" w:hAnsi="Times New Roman" w:eastAsia="仿宋_GB2312" w:cs="Times New Roman"/>
                <w:b/>
                <w:bCs/>
                <w:sz w:val="24"/>
                <w:szCs w:val="24"/>
                <w:lang w:bidi="ar"/>
              </w:rPr>
              <w:t>一是</w:t>
            </w:r>
            <w:r>
              <w:rPr>
                <w:rStyle w:val="13"/>
                <w:rFonts w:ascii="Times New Roman" w:cs="Times New Roman"/>
                <w:sz w:val="24"/>
                <w:szCs w:val="24"/>
                <w:lang w:bidi="ar"/>
              </w:rPr>
              <w:t>全面摸排取得危险化学品经营许可证，通过仓库（非储罐区）储存危险化学品企业底数，建立动态台账；</w:t>
            </w:r>
            <w:r>
              <w:rPr>
                <w:rStyle w:val="12"/>
                <w:rFonts w:ascii="Times New Roman" w:hAnsi="Times New Roman" w:eastAsia="仿宋_GB2312" w:cs="Times New Roman"/>
                <w:b/>
                <w:bCs/>
                <w:sz w:val="24"/>
                <w:szCs w:val="24"/>
                <w:lang w:bidi="ar"/>
              </w:rPr>
              <w:t>二是</w:t>
            </w:r>
            <w:r>
              <w:rPr>
                <w:rStyle w:val="13"/>
                <w:rFonts w:ascii="Times New Roman" w:cs="Times New Roman"/>
                <w:sz w:val="24"/>
                <w:szCs w:val="24"/>
                <w:lang w:bidi="ar"/>
              </w:rPr>
              <w:t>组织企业对照《危险化学品仓库企业安全风险评估细则（试行）》开展自评，形成自评报告和问题隐患清单，确定安全风险等级，明确整改措施及时限；</w:t>
            </w:r>
            <w:r>
              <w:rPr>
                <w:rStyle w:val="12"/>
                <w:rFonts w:ascii="Times New Roman" w:hAnsi="Times New Roman" w:eastAsia="仿宋_GB2312" w:cs="Times New Roman"/>
                <w:b/>
                <w:bCs/>
                <w:sz w:val="24"/>
                <w:szCs w:val="24"/>
                <w:lang w:bidi="ar"/>
              </w:rPr>
              <w:t>三是</w:t>
            </w:r>
            <w:r>
              <w:rPr>
                <w:rStyle w:val="13"/>
                <w:rFonts w:ascii="Times New Roman" w:cs="Times New Roman"/>
                <w:sz w:val="24"/>
                <w:szCs w:val="24"/>
                <w:lang w:bidi="ar"/>
              </w:rPr>
              <w:t>州应急管理局逐项核查并编制核查报告；</w:t>
            </w:r>
            <w:r>
              <w:rPr>
                <w:rStyle w:val="12"/>
                <w:rFonts w:ascii="Times New Roman" w:hAnsi="Times New Roman" w:eastAsia="仿宋_GB2312" w:cs="Times New Roman"/>
                <w:b/>
                <w:bCs/>
                <w:sz w:val="24"/>
                <w:szCs w:val="24"/>
                <w:lang w:bidi="ar"/>
              </w:rPr>
              <w:t>四是</w:t>
            </w:r>
            <w:r>
              <w:rPr>
                <w:rStyle w:val="13"/>
                <w:rFonts w:ascii="Times New Roman" w:cs="Times New Roman"/>
                <w:sz w:val="24"/>
                <w:szCs w:val="24"/>
                <w:lang w:bidi="ar"/>
              </w:rPr>
              <w:t>县市应急管理局对有关企业隐患整改进行执法验收，实现高和较高安全风险等级企业动态“清零”。</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eastAsia="仿宋_GB2312"/>
                <w:color w:val="000000"/>
                <w:sz w:val="24"/>
              </w:rPr>
            </w:pPr>
            <w:r>
              <w:rPr>
                <w:rFonts w:eastAsia="仿宋_GB2312"/>
                <w:color w:val="000000"/>
                <w:kern w:val="0"/>
                <w:sz w:val="24"/>
                <w:lang w:bidi="ar"/>
              </w:rPr>
              <w:t>3月底前完成排查摸底、5月底完成对标自评、6月底前完成风险等级核查、10月底前完成执法验收、11月底前部</w:t>
            </w:r>
            <w:r>
              <w:rPr>
                <w:rFonts w:hint="eastAsia" w:eastAsia="仿宋_GB2312"/>
                <w:color w:val="000000"/>
                <w:kern w:val="0"/>
                <w:sz w:val="24"/>
                <w:lang w:bidi="ar"/>
              </w:rPr>
              <w:t>、</w:t>
            </w:r>
            <w:r>
              <w:rPr>
                <w:rFonts w:eastAsia="仿宋_GB2312"/>
                <w:color w:val="000000"/>
                <w:kern w:val="0"/>
                <w:sz w:val="24"/>
                <w:lang w:bidi="ar"/>
              </w:rPr>
              <w:t>省督导抽查</w:t>
            </w:r>
            <w:r>
              <w:rPr>
                <w:rFonts w:hint="eastAsia" w:eastAsia="仿宋_GB2312"/>
                <w:color w:val="000000"/>
                <w:kern w:val="0"/>
                <w:sz w:val="24"/>
                <w:lang w:bidi="ar"/>
              </w:rPr>
              <w:t>。</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eastAsia="仿宋_GB2312"/>
                <w:color w:val="000000"/>
                <w:sz w:val="24"/>
              </w:rPr>
            </w:pPr>
            <w:r>
              <w:rPr>
                <w:rFonts w:eastAsia="仿宋_GB2312"/>
                <w:color w:val="000000"/>
                <w:kern w:val="0"/>
                <w:sz w:val="24"/>
                <w:lang w:bidi="ar"/>
              </w:rPr>
              <w:t>制定方案、组织排查、开展核查、跟踪督促</w:t>
            </w:r>
            <w:r>
              <w:rPr>
                <w:rFonts w:hint="eastAsia" w:eastAsia="仿宋_GB2312"/>
                <w:color w:val="000000"/>
                <w:kern w:val="0"/>
                <w:sz w:val="24"/>
                <w:lang w:bidi="ar"/>
              </w:rPr>
              <w:t>。</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eastAsia="仿宋_GB2312"/>
                <w:color w:val="000000"/>
                <w:sz w:val="24"/>
              </w:rPr>
            </w:pPr>
            <w:r>
              <w:rPr>
                <w:rFonts w:eastAsia="仿宋_GB2312"/>
                <w:color w:val="000000"/>
                <w:kern w:val="0"/>
                <w:sz w:val="24"/>
                <w:lang w:bidi="ar"/>
              </w:rPr>
              <w:t>督促落实、督促整改、督促录入、执法验收</w:t>
            </w:r>
            <w:r>
              <w:rPr>
                <w:rFonts w:hint="eastAsia" w:eastAsia="仿宋_GB2312"/>
                <w:color w:val="000000"/>
                <w:kern w:val="0"/>
                <w:sz w:val="24"/>
                <w:lang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仿宋_GB2312"/>
                <w:color w:val="000000"/>
                <w:sz w:val="24"/>
              </w:rPr>
            </w:pPr>
            <w:r>
              <w:rPr>
                <w:rFonts w:hint="eastAsia" w:ascii="仿宋_GB2312" w:hAnsi="宋体" w:eastAsia="仿宋_GB2312" w:cs="仿宋_GB2312"/>
                <w:color w:val="000000"/>
                <w:sz w:val="24"/>
              </w:rPr>
              <w:t>将有关自评情况等信息录入危险化学品经营监管系统。</w:t>
            </w:r>
          </w:p>
        </w:tc>
      </w:tr>
      <w:tr>
        <w:tblPrEx>
          <w:tblCellMar>
            <w:top w:w="0" w:type="dxa"/>
            <w:left w:w="108" w:type="dxa"/>
            <w:bottom w:w="0" w:type="dxa"/>
            <w:right w:w="108" w:type="dxa"/>
          </w:tblCellMar>
        </w:tblPrEx>
        <w:trPr>
          <w:trHeight w:val="1833" w:hRule="atLeast"/>
          <w:jc w:val="center"/>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color w:val="000000"/>
                <w:sz w:val="24"/>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b/>
                <w:sz w:val="24"/>
              </w:rPr>
            </w:pPr>
            <w:r>
              <w:rPr>
                <w:rFonts w:ascii="楷体" w:hAnsi="楷体" w:eastAsia="楷体" w:cs="楷体"/>
                <w:b/>
                <w:kern w:val="0"/>
                <w:sz w:val="24"/>
                <w:lang w:bidi="ar"/>
              </w:rPr>
              <w:t>3.防范高危细分领域安全风险</w:t>
            </w: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eastAsia="仿宋_GB2312"/>
                <w:sz w:val="24"/>
              </w:rPr>
            </w:pPr>
            <w:r>
              <w:rPr>
                <w:rFonts w:ascii="仿宋_GB2312" w:hAnsi="宋体" w:eastAsia="仿宋_GB2312" w:cs="仿宋_GB2312"/>
                <w:kern w:val="0"/>
                <w:sz w:val="24"/>
                <w:lang w:bidi="ar"/>
              </w:rPr>
              <w:t>严格新建项目安全条件审核把关，严控涉及剧毒、易制爆等高风险工艺项目建设落地</w:t>
            </w:r>
            <w:r>
              <w:rPr>
                <w:rFonts w:hint="eastAsia" w:ascii="仿宋_GB2312" w:hAnsi="宋体" w:eastAsia="仿宋_GB2312" w:cs="仿宋_GB2312"/>
                <w:kern w:val="0"/>
                <w:sz w:val="24"/>
                <w:lang w:bidi="ar"/>
              </w:rPr>
              <w:t>。</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sz w:val="24"/>
              </w:rPr>
            </w:pPr>
            <w:r>
              <w:rPr>
                <w:rFonts w:ascii="仿宋_GB2312" w:hAnsi="宋体" w:eastAsia="仿宋_GB2312" w:cs="仿宋_GB2312"/>
                <w:kern w:val="0"/>
                <w:sz w:val="24"/>
                <w:lang w:bidi="ar"/>
              </w:rPr>
              <w:t>持续推进</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仿宋_GB2312"/>
                <w:sz w:val="24"/>
              </w:rPr>
            </w:pPr>
            <w:r>
              <w:rPr>
                <w:rFonts w:hint="eastAsia" w:ascii="仿宋_GB2312" w:hAnsi="宋体" w:eastAsia="仿宋_GB2312" w:cs="仿宋_GB2312"/>
                <w:sz w:val="24"/>
              </w:rPr>
              <w:t>严格把关、严格准入。</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仿宋_GB2312"/>
                <w:sz w:val="24"/>
              </w:rPr>
            </w:pPr>
            <w:r>
              <w:rPr>
                <w:rFonts w:hint="eastAsia" w:ascii="仿宋_GB2312" w:hAnsi="宋体" w:eastAsia="仿宋_GB2312" w:cs="仿宋_GB2312"/>
                <w:sz w:val="24"/>
              </w:rPr>
              <w:t>加强宣传引导，做好决策咨询服务。</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eastAsia="仿宋_GB2312"/>
                <w:color w:val="FF0000"/>
                <w:sz w:val="24"/>
              </w:rPr>
            </w:pPr>
          </w:p>
        </w:tc>
      </w:tr>
      <w:tr>
        <w:tblPrEx>
          <w:tblCellMar>
            <w:top w:w="0" w:type="dxa"/>
            <w:left w:w="108" w:type="dxa"/>
            <w:bottom w:w="0" w:type="dxa"/>
            <w:right w:w="108" w:type="dxa"/>
          </w:tblCellMar>
        </w:tblPrEx>
        <w:trPr>
          <w:trHeight w:val="1550" w:hRule="atLeast"/>
          <w:jc w:val="center"/>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color w:val="000000"/>
                <w:sz w:val="24"/>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11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b/>
                <w:color w:val="000000"/>
                <w:sz w:val="24"/>
              </w:rPr>
            </w:pPr>
            <w:r>
              <w:rPr>
                <w:rFonts w:ascii="楷体" w:hAnsi="楷体" w:eastAsia="楷体" w:cs="楷体"/>
                <w:b/>
                <w:color w:val="000000"/>
                <w:kern w:val="0"/>
                <w:sz w:val="24"/>
                <w:lang w:bidi="ar"/>
              </w:rPr>
              <w:t>4.防范建设项目准入安全风险</w:t>
            </w: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eastAsia="仿宋_GB2312"/>
                <w:color w:val="000000"/>
                <w:sz w:val="24"/>
              </w:rPr>
            </w:pPr>
            <w:r>
              <w:rPr>
                <w:rFonts w:eastAsia="仿宋_GB2312"/>
                <w:color w:val="000000"/>
                <w:kern w:val="0"/>
                <w:sz w:val="24"/>
                <w:lang w:bidi="ar"/>
              </w:rPr>
              <w:t>（</w:t>
            </w:r>
            <w:r>
              <w:rPr>
                <w:rFonts w:ascii="仿宋_GB2312" w:hAnsi="宋体" w:eastAsia="仿宋_GB2312" w:cs="仿宋_GB2312"/>
                <w:kern w:val="0"/>
                <w:sz w:val="24"/>
                <w:lang w:bidi="ar"/>
              </w:rPr>
              <w:t>1）</w:t>
            </w:r>
            <w:r>
              <w:rPr>
                <w:rFonts w:eastAsia="仿宋_GB2312"/>
                <w:color w:val="000000"/>
                <w:kern w:val="0"/>
                <w:sz w:val="24"/>
                <w:lang w:bidi="ar"/>
              </w:rPr>
              <w:t>严格落实《危险化学品生产建设项目安全风险防控指南（试行）》、《云南省化工项目准入条件（试行）》和新建化工生产项目入园要求。</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eastAsia="仿宋_GB2312"/>
                <w:color w:val="000000"/>
                <w:sz w:val="24"/>
              </w:rPr>
            </w:pPr>
            <w:r>
              <w:rPr>
                <w:rFonts w:eastAsia="仿宋_GB2312"/>
                <w:color w:val="000000"/>
                <w:kern w:val="0"/>
                <w:sz w:val="24"/>
                <w:lang w:bidi="ar"/>
              </w:rPr>
              <w:t>持续推进</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eastAsia="仿宋_GB2312"/>
                <w:color w:val="000000"/>
                <w:sz w:val="24"/>
              </w:rPr>
            </w:pPr>
            <w:r>
              <w:rPr>
                <w:rFonts w:hint="eastAsia" w:ascii="仿宋_GB2312" w:hAnsi="宋体" w:eastAsia="仿宋_GB2312" w:cs="仿宋_GB2312"/>
                <w:sz w:val="24"/>
              </w:rPr>
              <w:t>严格把关、严格准入。</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eastAsia="仿宋_GB2312"/>
                <w:color w:val="000000"/>
                <w:sz w:val="24"/>
              </w:rPr>
            </w:pPr>
            <w:r>
              <w:rPr>
                <w:rFonts w:hint="eastAsia" w:ascii="仿宋_GB2312" w:hAnsi="宋体" w:eastAsia="仿宋_GB2312" w:cs="仿宋_GB2312"/>
                <w:sz w:val="24"/>
              </w:rPr>
              <w:t>加强宣传引导，做好决策咨询服务。</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仿宋_GB2312"/>
                <w:color w:val="000000"/>
                <w:sz w:val="24"/>
              </w:rPr>
            </w:pPr>
          </w:p>
        </w:tc>
      </w:tr>
      <w:tr>
        <w:tblPrEx>
          <w:tblCellMar>
            <w:top w:w="0" w:type="dxa"/>
            <w:left w:w="108" w:type="dxa"/>
            <w:bottom w:w="0" w:type="dxa"/>
            <w:right w:w="108" w:type="dxa"/>
          </w:tblCellMar>
        </w:tblPrEx>
        <w:trPr>
          <w:trHeight w:val="1686" w:hRule="atLeast"/>
          <w:jc w:val="center"/>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color w:val="000000"/>
                <w:sz w:val="24"/>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（2）组织开展长期停产“僵尸”生产企业清理</w:t>
            </w:r>
            <w:r>
              <w:rPr>
                <w:rFonts w:hint="eastAsia" w:ascii="仿宋_GB2312" w:hAnsi="宋体" w:eastAsia="仿宋_GB2312" w:cs="仿宋_GB2312"/>
                <w:color w:val="000000"/>
                <w:kern w:val="0"/>
                <w:sz w:val="24"/>
                <w:lang w:bidi="ar"/>
              </w:rPr>
              <w:t>，加强日常监督管理，严格复产复工审核验收，不具备复产复工条件的，督促尽快办理许可证注销手续。</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6</w:t>
            </w:r>
            <w:r>
              <w:rPr>
                <w:rFonts w:ascii="仿宋_GB2312" w:hAnsi="宋体" w:eastAsia="仿宋_GB2312" w:cs="仿宋_GB2312"/>
                <w:color w:val="000000"/>
                <w:kern w:val="0"/>
                <w:sz w:val="24"/>
                <w:lang w:bidi="ar"/>
              </w:rPr>
              <w:t>月底前</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加强监督指导，结合建设项目安全设施“三同时”回头看进行核查。</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全覆盖检查</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仿宋_GB2312"/>
                <w:color w:val="000000"/>
                <w:sz w:val="24"/>
              </w:rPr>
            </w:pPr>
          </w:p>
        </w:tc>
      </w:tr>
      <w:tr>
        <w:tblPrEx>
          <w:tblCellMar>
            <w:top w:w="0" w:type="dxa"/>
            <w:left w:w="108" w:type="dxa"/>
            <w:bottom w:w="0" w:type="dxa"/>
            <w:right w:w="108" w:type="dxa"/>
          </w:tblCellMar>
        </w:tblPrEx>
        <w:trPr>
          <w:trHeight w:val="3256" w:hRule="atLeast"/>
          <w:jc w:val="center"/>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color w:val="000000"/>
                <w:sz w:val="24"/>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（3）组织全</w:t>
            </w:r>
            <w:r>
              <w:rPr>
                <w:rFonts w:hint="eastAsia" w:ascii="仿宋_GB2312" w:hAnsi="宋体" w:eastAsia="仿宋_GB2312" w:cs="仿宋_GB2312"/>
                <w:color w:val="000000"/>
                <w:kern w:val="0"/>
                <w:sz w:val="24"/>
                <w:lang w:bidi="ar"/>
              </w:rPr>
              <w:t>县</w:t>
            </w:r>
            <w:r>
              <w:rPr>
                <w:rFonts w:ascii="仿宋_GB2312" w:hAnsi="宋体" w:eastAsia="仿宋_GB2312" w:cs="仿宋_GB2312"/>
                <w:color w:val="000000"/>
                <w:kern w:val="0"/>
                <w:sz w:val="24"/>
                <w:lang w:bidi="ar"/>
              </w:rPr>
              <w:t>危险化学品生产企业和带储存设施（构成重大危险源）的经营企业</w:t>
            </w:r>
            <w:r>
              <w:rPr>
                <w:rFonts w:hint="eastAsia" w:ascii="仿宋_GB2312" w:hAnsi="宋体" w:eastAsia="仿宋_GB2312" w:cs="仿宋_GB2312"/>
                <w:color w:val="000000"/>
                <w:kern w:val="0"/>
                <w:sz w:val="24"/>
                <w:lang w:bidi="ar"/>
              </w:rPr>
              <w:t>对照《云南省危险化学品生产储存企业安全风险评估诊断分级指南》</w:t>
            </w:r>
            <w:r>
              <w:rPr>
                <w:rFonts w:hint="eastAsia" w:ascii="方正楷体_GBK" w:hAnsi="方正楷体_GBK" w:eastAsia="方正楷体_GBK" w:cs="方正楷体_GBK"/>
                <w:b/>
                <w:bCs/>
                <w:color w:val="000000"/>
                <w:kern w:val="0"/>
                <w:sz w:val="24"/>
                <w:lang w:bidi="ar"/>
              </w:rPr>
              <w:t>（待发）</w:t>
            </w:r>
            <w:r>
              <w:rPr>
                <w:rFonts w:ascii="仿宋_GB2312" w:hAnsi="宋体" w:eastAsia="仿宋_GB2312" w:cs="仿宋_GB2312"/>
                <w:color w:val="000000"/>
                <w:kern w:val="0"/>
                <w:sz w:val="24"/>
                <w:lang w:bidi="ar"/>
              </w:rPr>
              <w:t>重新复核评估其安全风险等级，分级动态建立高风险企业名单，实施重点监管。</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8月底前</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宣传解读《云南省危险化学品</w:t>
            </w:r>
            <w:r>
              <w:rPr>
                <w:rFonts w:ascii="仿宋_GB2312" w:hAnsi="宋体" w:eastAsia="仿宋_GB2312" w:cs="仿宋_GB2312"/>
                <w:color w:val="000000"/>
                <w:kern w:val="0"/>
                <w:sz w:val="24"/>
                <w:lang w:bidi="ar"/>
              </w:rPr>
              <w:t>生产储存企业</w:t>
            </w:r>
            <w:r>
              <w:rPr>
                <w:rFonts w:hint="eastAsia" w:ascii="仿宋_GB2312" w:hAnsi="宋体" w:eastAsia="仿宋_GB2312" w:cs="仿宋_GB2312"/>
                <w:color w:val="000000"/>
                <w:kern w:val="0"/>
                <w:sz w:val="24"/>
                <w:lang w:bidi="ar"/>
              </w:rPr>
              <w:t>安全风险评估诊断分级指南》，加强监督指导，</w:t>
            </w:r>
            <w:r>
              <w:rPr>
                <w:rFonts w:ascii="仿宋_GB2312" w:hAnsi="宋体" w:eastAsia="仿宋_GB2312" w:cs="仿宋_GB2312"/>
                <w:color w:val="000000"/>
                <w:kern w:val="0"/>
                <w:sz w:val="24"/>
                <w:lang w:bidi="ar"/>
              </w:rPr>
              <w:t>组织开展本地区生产储存企业安全风险等级复核工作，并汇总上报企业安全风险等级台账。</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督促指导辖区内企业按照方案开展安全风险等级复核评估、及时上报辖区企业重新核定的安全风险等级汇总情况。</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仿宋_GB2312"/>
                <w:color w:val="000000"/>
                <w:sz w:val="24"/>
              </w:rPr>
            </w:pPr>
          </w:p>
        </w:tc>
      </w:tr>
      <w:tr>
        <w:tblPrEx>
          <w:tblCellMar>
            <w:top w:w="0" w:type="dxa"/>
            <w:left w:w="108" w:type="dxa"/>
            <w:bottom w:w="0" w:type="dxa"/>
            <w:right w:w="108" w:type="dxa"/>
          </w:tblCellMar>
        </w:tblPrEx>
        <w:trPr>
          <w:trHeight w:val="1519" w:hRule="atLeast"/>
          <w:jc w:val="center"/>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color w:val="000000"/>
                <w:sz w:val="24"/>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11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b/>
                <w:color w:val="000000"/>
                <w:sz w:val="24"/>
              </w:rPr>
            </w:pPr>
            <w:r>
              <w:rPr>
                <w:rFonts w:ascii="楷体" w:hAnsi="楷体" w:eastAsia="楷体" w:cs="楷体"/>
                <w:b/>
                <w:color w:val="000000"/>
                <w:kern w:val="0"/>
                <w:sz w:val="24"/>
                <w:lang w:bidi="ar"/>
              </w:rPr>
              <w:t>5.防范作业安全风险</w:t>
            </w: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仿宋_GB2312" w:hAnsi="宋体" w:eastAsia="仿宋_GB2312" w:cs="仿宋_GB2312"/>
                <w:sz w:val="24"/>
              </w:rPr>
            </w:pPr>
            <w:r>
              <w:rPr>
                <w:rFonts w:ascii="仿宋_GB2312" w:hAnsi="宋体" w:eastAsia="仿宋_GB2312" w:cs="仿宋_GB2312"/>
                <w:kern w:val="0"/>
                <w:sz w:val="24"/>
                <w:lang w:bidi="ar"/>
              </w:rPr>
              <w:t>（1）加强作业安全管理培训，严格执行应急管理部制定下发的化工企业异常工况处置、带压密封和带压开孔作业等安全管理规范</w:t>
            </w:r>
            <w:r>
              <w:rPr>
                <w:rFonts w:hint="eastAsia" w:ascii="仿宋_GB2312" w:hAnsi="宋体" w:eastAsia="仿宋_GB2312" w:cs="仿宋_GB2312"/>
                <w:kern w:val="0"/>
                <w:sz w:val="24"/>
                <w:lang w:bidi="ar"/>
              </w:rPr>
              <w:t>。</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sz w:val="24"/>
              </w:rPr>
            </w:pPr>
            <w:r>
              <w:rPr>
                <w:rFonts w:ascii="仿宋_GB2312" w:hAnsi="宋体" w:eastAsia="仿宋_GB2312" w:cs="仿宋_GB2312"/>
                <w:kern w:val="0"/>
                <w:sz w:val="24"/>
                <w:lang w:bidi="ar"/>
              </w:rPr>
              <w:t>持续推进</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sz w:val="24"/>
              </w:rPr>
            </w:pPr>
            <w:r>
              <w:rPr>
                <w:rFonts w:hint="eastAsia" w:ascii="仿宋_GB2312" w:hAnsi="宋体" w:eastAsia="仿宋_GB2312" w:cs="仿宋_GB2312"/>
                <w:kern w:val="0"/>
                <w:sz w:val="24"/>
                <w:lang w:bidi="ar"/>
              </w:rPr>
              <w:t>加强宣贯培训、</w:t>
            </w:r>
            <w:r>
              <w:rPr>
                <w:rFonts w:ascii="仿宋_GB2312" w:hAnsi="宋体" w:eastAsia="仿宋_GB2312" w:cs="仿宋_GB2312"/>
                <w:kern w:val="0"/>
                <w:sz w:val="24"/>
                <w:lang w:bidi="ar"/>
              </w:rPr>
              <w:t>监督</w:t>
            </w:r>
            <w:r>
              <w:rPr>
                <w:rFonts w:hint="eastAsia" w:ascii="仿宋_GB2312" w:hAnsi="宋体" w:eastAsia="仿宋_GB2312" w:cs="仿宋_GB2312"/>
                <w:kern w:val="0"/>
                <w:sz w:val="24"/>
                <w:lang w:bidi="ar"/>
              </w:rPr>
              <w:t>检</w:t>
            </w:r>
            <w:r>
              <w:rPr>
                <w:rFonts w:ascii="仿宋_GB2312" w:hAnsi="宋体" w:eastAsia="仿宋_GB2312" w:cs="仿宋_GB2312"/>
                <w:kern w:val="0"/>
                <w:sz w:val="24"/>
                <w:lang w:bidi="ar"/>
              </w:rPr>
              <w:t>查</w:t>
            </w:r>
            <w:r>
              <w:rPr>
                <w:rFonts w:hint="eastAsia" w:ascii="仿宋_GB2312" w:hAnsi="宋体" w:eastAsia="仿宋_GB2312" w:cs="仿宋_GB2312"/>
                <w:kern w:val="0"/>
                <w:sz w:val="24"/>
                <w:lang w:bidi="ar"/>
              </w:rPr>
              <w:t>、监管执法。</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sz w:val="24"/>
              </w:rPr>
            </w:pPr>
            <w:r>
              <w:rPr>
                <w:rFonts w:hint="eastAsia" w:ascii="仿宋_GB2312" w:hAnsi="宋体" w:eastAsia="仿宋_GB2312" w:cs="仿宋_GB2312"/>
                <w:kern w:val="0"/>
                <w:sz w:val="24"/>
                <w:lang w:bidi="ar"/>
              </w:rPr>
              <w:t>加强宣贯培训、</w:t>
            </w:r>
            <w:r>
              <w:rPr>
                <w:rFonts w:ascii="仿宋_GB2312" w:hAnsi="宋体" w:eastAsia="仿宋_GB2312" w:cs="仿宋_GB2312"/>
                <w:kern w:val="0"/>
                <w:sz w:val="24"/>
                <w:lang w:bidi="ar"/>
              </w:rPr>
              <w:t>监督</w:t>
            </w:r>
            <w:r>
              <w:rPr>
                <w:rFonts w:hint="eastAsia" w:ascii="仿宋_GB2312" w:hAnsi="宋体" w:eastAsia="仿宋_GB2312" w:cs="仿宋_GB2312"/>
                <w:kern w:val="0"/>
                <w:sz w:val="24"/>
                <w:lang w:bidi="ar"/>
              </w:rPr>
              <w:t>检</w:t>
            </w:r>
            <w:r>
              <w:rPr>
                <w:rFonts w:ascii="仿宋_GB2312" w:hAnsi="宋体" w:eastAsia="仿宋_GB2312" w:cs="仿宋_GB2312"/>
                <w:kern w:val="0"/>
                <w:sz w:val="24"/>
                <w:lang w:bidi="ar"/>
              </w:rPr>
              <w:t>抽查</w:t>
            </w:r>
            <w:r>
              <w:rPr>
                <w:rFonts w:hint="eastAsia" w:ascii="仿宋_GB2312" w:hAnsi="宋体" w:eastAsia="仿宋_GB2312" w:cs="仿宋_GB2312"/>
                <w:kern w:val="0"/>
                <w:sz w:val="24"/>
                <w:lang w:bidi="ar"/>
              </w:rPr>
              <w:t>、监管执法。</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仿宋_GB2312"/>
                <w:color w:val="000000"/>
                <w:sz w:val="24"/>
              </w:rPr>
            </w:pPr>
          </w:p>
        </w:tc>
      </w:tr>
      <w:tr>
        <w:tblPrEx>
          <w:tblCellMar>
            <w:top w:w="0" w:type="dxa"/>
            <w:left w:w="108" w:type="dxa"/>
            <w:bottom w:w="0" w:type="dxa"/>
            <w:right w:w="108" w:type="dxa"/>
          </w:tblCellMar>
        </w:tblPrEx>
        <w:trPr>
          <w:trHeight w:val="1974" w:hRule="atLeast"/>
          <w:jc w:val="center"/>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color w:val="000000"/>
                <w:sz w:val="24"/>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（2）实施危险作业风险隐患排查治理行动，将危险作业安全管理作为日常监管、执法检查等的必查项，集中公布、曝光、处理一批违法违规行为，督促企业建立健全危险作业安全管理及自查自改工作机制。</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持续推进</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监督</w:t>
            </w:r>
            <w:r>
              <w:rPr>
                <w:rFonts w:hint="eastAsia" w:ascii="仿宋_GB2312" w:hAnsi="宋体" w:eastAsia="仿宋_GB2312" w:cs="仿宋_GB2312"/>
                <w:color w:val="000000"/>
                <w:kern w:val="0"/>
                <w:sz w:val="24"/>
                <w:lang w:bidi="ar"/>
              </w:rPr>
              <w:t>检</w:t>
            </w:r>
            <w:r>
              <w:rPr>
                <w:rFonts w:ascii="仿宋_GB2312" w:hAnsi="宋体" w:eastAsia="仿宋_GB2312" w:cs="仿宋_GB2312"/>
                <w:color w:val="000000"/>
                <w:kern w:val="0"/>
                <w:sz w:val="24"/>
                <w:lang w:bidi="ar"/>
              </w:rPr>
              <w:t>查</w:t>
            </w:r>
            <w:r>
              <w:rPr>
                <w:rFonts w:hint="eastAsia" w:ascii="仿宋_GB2312" w:hAnsi="宋体" w:eastAsia="仿宋_GB2312" w:cs="仿宋_GB2312"/>
                <w:color w:val="000000"/>
                <w:kern w:val="0"/>
                <w:sz w:val="24"/>
                <w:lang w:bidi="ar"/>
              </w:rPr>
              <w:t>、监管执法</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监督检查</w:t>
            </w:r>
            <w:r>
              <w:rPr>
                <w:rFonts w:hint="eastAsia" w:ascii="仿宋_GB2312" w:hAnsi="宋体" w:eastAsia="仿宋_GB2312" w:cs="仿宋_GB2312"/>
                <w:color w:val="000000"/>
                <w:kern w:val="0"/>
                <w:sz w:val="24"/>
                <w:lang w:bidi="ar"/>
              </w:rPr>
              <w:t>、监管执法</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仿宋_GB2312"/>
                <w:color w:val="000000"/>
                <w:sz w:val="24"/>
              </w:rPr>
            </w:pPr>
          </w:p>
        </w:tc>
      </w:tr>
      <w:tr>
        <w:tblPrEx>
          <w:tblCellMar>
            <w:top w:w="0" w:type="dxa"/>
            <w:left w:w="108" w:type="dxa"/>
            <w:bottom w:w="0" w:type="dxa"/>
            <w:right w:w="108" w:type="dxa"/>
          </w:tblCellMar>
        </w:tblPrEx>
        <w:trPr>
          <w:trHeight w:val="1814" w:hRule="atLeast"/>
          <w:jc w:val="center"/>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color w:val="000000"/>
                <w:sz w:val="24"/>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（3）推动危险化学品重大危险源企业2024年建设应用特殊作业许可与作业管理场景、包含人员聚集风险监测预警功能的人员定位系统。</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11月底前</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制定方案、组织落实、跟踪督促</w:t>
            </w:r>
            <w:r>
              <w:rPr>
                <w:rFonts w:hint="eastAsia" w:ascii="仿宋_GB2312" w:hAnsi="宋体" w:eastAsia="仿宋_GB2312" w:cs="仿宋_GB2312"/>
                <w:color w:val="000000"/>
                <w:kern w:val="0"/>
                <w:sz w:val="24"/>
                <w:lang w:bidi="ar"/>
              </w:rPr>
              <w:t>。</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督促落实、督促安装</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仿宋_GB2312"/>
                <w:color w:val="000000"/>
                <w:sz w:val="24"/>
              </w:rPr>
            </w:pPr>
          </w:p>
        </w:tc>
      </w:tr>
      <w:tr>
        <w:tblPrEx>
          <w:tblCellMar>
            <w:top w:w="0" w:type="dxa"/>
            <w:left w:w="108" w:type="dxa"/>
            <w:bottom w:w="0" w:type="dxa"/>
            <w:right w:w="108" w:type="dxa"/>
          </w:tblCellMar>
        </w:tblPrEx>
        <w:trPr>
          <w:trHeight w:val="3676" w:hRule="atLeast"/>
          <w:jc w:val="center"/>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color w:val="000000"/>
                <w:sz w:val="24"/>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b/>
                <w:color w:val="000000"/>
                <w:sz w:val="24"/>
              </w:rPr>
            </w:pPr>
            <w:r>
              <w:rPr>
                <w:rFonts w:ascii="楷体" w:hAnsi="楷体" w:eastAsia="楷体" w:cs="楷体"/>
                <w:b/>
                <w:color w:val="000000"/>
                <w:kern w:val="0"/>
                <w:sz w:val="24"/>
                <w:lang w:bidi="ar"/>
              </w:rPr>
              <w:t>6.防范油气长输管道安全风险</w:t>
            </w: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开展油气管道常态化治理，</w:t>
            </w:r>
            <w:r>
              <w:rPr>
                <w:rFonts w:ascii="仿宋_GB2312" w:hAnsi="宋体" w:eastAsia="仿宋_GB2312" w:cs="仿宋_GB2312"/>
                <w:color w:val="000000"/>
                <w:kern w:val="0"/>
                <w:sz w:val="24"/>
                <w:lang w:bidi="ar"/>
              </w:rPr>
              <w:t>督促油气长输管道企业加强日常巡检巡护巡查、落实地质灾害隐患点安全监管防护措施，组织开展人员密集型高后果区安全风险对标自评和老旧管道安全风险排查评估，建立“一区一策”“一段一策”“一线一策”整改提升方案，形成外部隐患清单、管道本体隐患清单和其他隐患清单，推动建立属地政企、社企协调联动、联防联控，建立人员密集型高后果区日常联防联控、定期会商研判和协同应急处置工作机制，推进联防联控机制有效运行。</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7月底前</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联合有关部门，</w:t>
            </w:r>
            <w:r>
              <w:rPr>
                <w:rFonts w:ascii="仿宋_GB2312" w:hAnsi="宋体" w:eastAsia="仿宋_GB2312" w:cs="仿宋_GB2312"/>
                <w:color w:val="000000"/>
                <w:kern w:val="0"/>
                <w:sz w:val="24"/>
                <w:lang w:bidi="ar"/>
              </w:rPr>
              <w:t>组织</w:t>
            </w:r>
            <w:r>
              <w:rPr>
                <w:rFonts w:hint="eastAsia" w:ascii="仿宋_GB2312" w:hAnsi="宋体" w:eastAsia="仿宋_GB2312" w:cs="仿宋_GB2312"/>
                <w:color w:val="000000"/>
                <w:kern w:val="0"/>
                <w:sz w:val="24"/>
                <w:lang w:bidi="ar"/>
              </w:rPr>
              <w:t>开展全覆盖检查，乡镇人民政府与油气管道企业建立人员密集型高后果区</w:t>
            </w:r>
            <w:r>
              <w:rPr>
                <w:rFonts w:ascii="仿宋_GB2312" w:hAnsi="宋体" w:eastAsia="仿宋_GB2312" w:cs="仿宋_GB2312"/>
                <w:color w:val="000000"/>
                <w:kern w:val="0"/>
                <w:sz w:val="24"/>
                <w:lang w:bidi="ar"/>
              </w:rPr>
              <w:t>有关企业按要求落实</w:t>
            </w:r>
            <w:r>
              <w:rPr>
                <w:rFonts w:hint="eastAsia" w:ascii="仿宋_GB2312" w:hAnsi="宋体" w:eastAsia="仿宋_GB2312" w:cs="仿宋_GB2312"/>
                <w:color w:val="000000"/>
                <w:kern w:val="0"/>
                <w:sz w:val="24"/>
                <w:lang w:bidi="ar"/>
              </w:rPr>
              <w:t>日常</w:t>
            </w:r>
            <w:r>
              <w:rPr>
                <w:rFonts w:ascii="仿宋_GB2312" w:hAnsi="宋体" w:eastAsia="仿宋_GB2312" w:cs="仿宋_GB2312"/>
                <w:color w:val="000000"/>
                <w:kern w:val="0"/>
                <w:sz w:val="24"/>
                <w:lang w:bidi="ar"/>
              </w:rPr>
              <w:t>联防联控、定期会商研判和协同应急处置工作机制</w:t>
            </w:r>
            <w:r>
              <w:rPr>
                <w:rFonts w:hint="eastAsia" w:ascii="仿宋_GB2312" w:hAnsi="宋体" w:eastAsia="仿宋_GB2312" w:cs="仿宋_GB2312"/>
                <w:color w:val="000000"/>
                <w:kern w:val="0"/>
                <w:sz w:val="24"/>
                <w:lang w:bidi="ar"/>
              </w:rPr>
              <w:t>运行情况。</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监督检查、</w:t>
            </w:r>
            <w:r>
              <w:rPr>
                <w:rFonts w:ascii="仿宋_GB2312" w:hAnsi="宋体" w:eastAsia="仿宋_GB2312" w:cs="仿宋_GB2312"/>
                <w:color w:val="000000"/>
                <w:kern w:val="0"/>
                <w:sz w:val="24"/>
                <w:lang w:bidi="ar"/>
              </w:rPr>
              <w:t>对接协调、督促落实</w:t>
            </w:r>
            <w:r>
              <w:rPr>
                <w:rFonts w:hint="eastAsia" w:ascii="仿宋_GB2312" w:hAnsi="宋体" w:eastAsia="仿宋_GB2312" w:cs="仿宋_GB2312"/>
                <w:color w:val="000000"/>
                <w:kern w:val="0"/>
                <w:sz w:val="24"/>
                <w:lang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仿宋_GB2312"/>
                <w:color w:val="000000"/>
                <w:sz w:val="24"/>
              </w:rPr>
            </w:pPr>
          </w:p>
        </w:tc>
      </w:tr>
      <w:tr>
        <w:tblPrEx>
          <w:tblCellMar>
            <w:top w:w="0" w:type="dxa"/>
            <w:left w:w="108" w:type="dxa"/>
            <w:bottom w:w="0" w:type="dxa"/>
            <w:right w:w="108" w:type="dxa"/>
          </w:tblCellMar>
        </w:tblPrEx>
        <w:trPr>
          <w:trHeight w:val="1638" w:hRule="atLeast"/>
          <w:jc w:val="center"/>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color w:val="000000"/>
                <w:sz w:val="24"/>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11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b/>
                <w:color w:val="000000"/>
                <w:sz w:val="24"/>
              </w:rPr>
            </w:pPr>
            <w:r>
              <w:rPr>
                <w:rFonts w:ascii="楷体" w:hAnsi="楷体" w:eastAsia="楷体" w:cs="楷体"/>
                <w:b/>
                <w:color w:val="000000"/>
                <w:kern w:val="0"/>
                <w:sz w:val="24"/>
                <w:lang w:bidi="ar"/>
              </w:rPr>
              <w:t>7.防范烟花爆竹经营安全风险</w:t>
            </w: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（1）深化烟花爆竹经营安全整治，常态化开展“企业自查、县</w:t>
            </w:r>
            <w:r>
              <w:rPr>
                <w:rFonts w:hint="eastAsia" w:ascii="仿宋_GB2312" w:hAnsi="宋体" w:eastAsia="仿宋_GB2312" w:cs="仿宋_GB2312"/>
                <w:color w:val="000000"/>
                <w:kern w:val="0"/>
                <w:sz w:val="24"/>
                <w:lang w:bidi="ar"/>
              </w:rPr>
              <w:t>、乡</w:t>
            </w:r>
            <w:r>
              <w:rPr>
                <w:rFonts w:ascii="仿宋_GB2312" w:hAnsi="宋体" w:eastAsia="仿宋_GB2312" w:cs="仿宋_GB2312"/>
                <w:color w:val="000000"/>
                <w:kern w:val="0"/>
                <w:sz w:val="24"/>
                <w:lang w:bidi="ar"/>
              </w:rPr>
              <w:t>复查、州级抽查”相结合的专项检查，严厉整治批发企业“六严禁”及零售店（点）“两关闭”“三严禁”等违法违规行为。</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持续开展</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常态化开展执法检查</w:t>
            </w:r>
            <w:r>
              <w:rPr>
                <w:rFonts w:hint="eastAsia" w:ascii="仿宋_GB2312" w:hAnsi="宋体" w:eastAsia="仿宋_GB2312" w:cs="仿宋_GB2312"/>
                <w:color w:val="000000"/>
                <w:kern w:val="0"/>
                <w:sz w:val="24"/>
                <w:lang w:bidi="ar"/>
              </w:rPr>
              <w:t>。</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加强督查检查，督</w:t>
            </w:r>
            <w:r>
              <w:rPr>
                <w:rFonts w:ascii="仿宋_GB2312" w:hAnsi="宋体" w:eastAsia="仿宋_GB2312" w:cs="仿宋_GB2312"/>
                <w:color w:val="000000"/>
                <w:kern w:val="0"/>
                <w:sz w:val="24"/>
                <w:lang w:bidi="ar"/>
              </w:rPr>
              <w:t>促企业落实整改措施</w:t>
            </w:r>
            <w:r>
              <w:rPr>
                <w:rFonts w:hint="eastAsia" w:ascii="仿宋_GB2312" w:hAnsi="宋体" w:eastAsia="仿宋_GB2312" w:cs="仿宋_GB2312"/>
                <w:color w:val="000000"/>
                <w:kern w:val="0"/>
                <w:sz w:val="24"/>
                <w:lang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仿宋_GB2312"/>
                <w:color w:val="000000"/>
                <w:sz w:val="24"/>
              </w:rPr>
            </w:pPr>
          </w:p>
        </w:tc>
      </w:tr>
      <w:tr>
        <w:tblPrEx>
          <w:tblCellMar>
            <w:top w:w="0" w:type="dxa"/>
            <w:left w:w="108" w:type="dxa"/>
            <w:bottom w:w="0" w:type="dxa"/>
            <w:right w:w="108" w:type="dxa"/>
          </w:tblCellMar>
        </w:tblPrEx>
        <w:trPr>
          <w:trHeight w:val="1331" w:hRule="atLeast"/>
          <w:jc w:val="center"/>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color w:val="000000"/>
                <w:sz w:val="24"/>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仿宋_GB2312" w:hAnsi="宋体" w:eastAsia="仿宋_GB2312" w:cs="仿宋_GB2312"/>
                <w:color w:val="FF0000"/>
                <w:sz w:val="24"/>
              </w:rPr>
            </w:pPr>
            <w:r>
              <w:rPr>
                <w:rFonts w:eastAsia="仿宋_GB2312"/>
                <w:kern w:val="0"/>
                <w:sz w:val="24"/>
                <w:lang w:bidi="ar"/>
              </w:rPr>
              <w:t>（2）积极应用安全风险监测预警系统和流向管理信息系统，实时监测、动态掌握批发企业、零售店（点）库存及安全管理情况。</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sz w:val="24"/>
              </w:rPr>
            </w:pPr>
            <w:r>
              <w:rPr>
                <w:rFonts w:hint="eastAsia" w:ascii="仿宋_GB2312" w:hAnsi="宋体" w:eastAsia="仿宋_GB2312" w:cs="仿宋_GB2312"/>
                <w:sz w:val="24"/>
              </w:rPr>
              <w:t>持续开展</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仿宋_GB2312"/>
                <w:sz w:val="24"/>
              </w:rPr>
            </w:pPr>
            <w:r>
              <w:rPr>
                <w:rFonts w:hint="eastAsia" w:ascii="仿宋_GB2312" w:hAnsi="宋体" w:eastAsia="仿宋_GB2312" w:cs="仿宋_GB2312"/>
                <w:sz w:val="24"/>
              </w:rPr>
              <w:t>执法检查、督促落实</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仿宋_GB2312"/>
                <w:sz w:val="24"/>
              </w:rPr>
            </w:pPr>
            <w:r>
              <w:rPr>
                <w:rFonts w:hint="eastAsia" w:ascii="仿宋_GB2312" w:hAnsi="宋体" w:eastAsia="仿宋_GB2312" w:cs="仿宋_GB2312"/>
                <w:sz w:val="24"/>
              </w:rPr>
              <w:t>执法检查、督促整改</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仿宋_GB2312"/>
                <w:color w:val="FF0000"/>
                <w:sz w:val="24"/>
              </w:rPr>
            </w:pPr>
          </w:p>
        </w:tc>
      </w:tr>
      <w:tr>
        <w:tblPrEx>
          <w:tblCellMar>
            <w:top w:w="0" w:type="dxa"/>
            <w:left w:w="108" w:type="dxa"/>
            <w:bottom w:w="0" w:type="dxa"/>
            <w:right w:w="108" w:type="dxa"/>
          </w:tblCellMar>
        </w:tblPrEx>
        <w:trPr>
          <w:trHeight w:val="1534" w:hRule="atLeast"/>
          <w:jc w:val="center"/>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color w:val="000000"/>
                <w:sz w:val="24"/>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（3）会同有关部门提前研判断、部署烟花爆竹生产经营旺季安全监管工作，严格落实“打非”工作责任，严格监管执法，严厉打击非法生产、运输、储存、经营烟花爆竹行为。</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持续开展</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lang w:bidi="ar"/>
              </w:rPr>
              <w:t>统筹部署、</w:t>
            </w:r>
            <w:r>
              <w:rPr>
                <w:rFonts w:ascii="仿宋_GB2312" w:hAnsi="宋体" w:eastAsia="仿宋_GB2312" w:cs="仿宋_GB2312"/>
                <w:color w:val="000000"/>
                <w:kern w:val="0"/>
                <w:sz w:val="24"/>
                <w:lang w:bidi="ar"/>
              </w:rPr>
              <w:t>执法检查、督促落实</w:t>
            </w:r>
            <w:r>
              <w:rPr>
                <w:rFonts w:hint="eastAsia" w:ascii="仿宋_GB2312" w:hAnsi="宋体" w:eastAsia="仿宋_GB2312" w:cs="仿宋_GB2312"/>
                <w:color w:val="000000"/>
                <w:kern w:val="0"/>
                <w:sz w:val="24"/>
                <w:lang w:bidi="ar"/>
              </w:rPr>
              <w:t>。</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仿宋_GB2312" w:hAnsi="宋体" w:eastAsia="仿宋_GB2312" w:cs="仿宋_GB2312"/>
                <w:color w:val="000000"/>
                <w:sz w:val="24"/>
              </w:rPr>
            </w:pPr>
            <w:r>
              <w:rPr>
                <w:rFonts w:ascii="仿宋_GB2312" w:hAnsi="宋体" w:eastAsia="仿宋_GB2312" w:cs="仿宋_GB2312"/>
                <w:color w:val="000000"/>
                <w:kern w:val="0"/>
                <w:sz w:val="24"/>
                <w:lang w:bidi="ar"/>
              </w:rPr>
              <w:t>执法检查、督促整改</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仿宋_GB2312"/>
                <w:color w:val="000000"/>
                <w:sz w:val="24"/>
              </w:rPr>
            </w:pPr>
          </w:p>
        </w:tc>
      </w:tr>
      <w:tr>
        <w:tblPrEx>
          <w:tblCellMar>
            <w:top w:w="0" w:type="dxa"/>
            <w:left w:w="108" w:type="dxa"/>
            <w:bottom w:w="0" w:type="dxa"/>
            <w:right w:w="108" w:type="dxa"/>
          </w:tblCellMar>
        </w:tblPrEx>
        <w:trPr>
          <w:trHeight w:val="1266" w:hRule="atLeast"/>
          <w:jc w:val="center"/>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11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b/>
                <w:color w:val="000000"/>
                <w:sz w:val="24"/>
              </w:rPr>
            </w:pPr>
            <w:r>
              <w:rPr>
                <w:rFonts w:ascii="楷体" w:hAnsi="楷体" w:eastAsia="楷体" w:cs="楷体"/>
                <w:b/>
                <w:color w:val="000000"/>
                <w:kern w:val="0"/>
                <w:sz w:val="24"/>
                <w:lang w:bidi="ar"/>
              </w:rPr>
              <w:t>8.推进企业本质安全改造整治</w:t>
            </w: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eastAsia="仿宋_GB2312"/>
                <w:color w:val="000000"/>
                <w:sz w:val="24"/>
              </w:rPr>
            </w:pPr>
            <w:r>
              <w:rPr>
                <w:rFonts w:eastAsia="仿宋_GB2312"/>
                <w:color w:val="000000"/>
                <w:kern w:val="0"/>
                <w:sz w:val="24"/>
                <w:lang w:bidi="ar"/>
              </w:rPr>
              <w:t>（1）推动反应安全风险评估工艺危险度3级及以上的硝化、氯化、氟化、过氧化企业应用微通道、管式反应器等新装备、新技术。</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color w:val="000000"/>
                <w:sz w:val="24"/>
              </w:rPr>
            </w:pPr>
            <w:r>
              <w:rPr>
                <w:rFonts w:eastAsia="仿宋_GB2312"/>
                <w:color w:val="000000"/>
                <w:kern w:val="0"/>
                <w:sz w:val="24"/>
                <w:lang w:bidi="ar"/>
              </w:rPr>
              <w:t>持续推进</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color w:val="000000"/>
                <w:sz w:val="24"/>
              </w:rPr>
            </w:pPr>
            <w:r>
              <w:rPr>
                <w:rFonts w:hint="eastAsia" w:eastAsia="仿宋_GB2312"/>
                <w:color w:val="000000"/>
                <w:kern w:val="0"/>
                <w:sz w:val="24"/>
                <w:lang w:bidi="ar"/>
              </w:rPr>
              <w:t>根据反应安全风险评估等情况</w:t>
            </w:r>
            <w:r>
              <w:rPr>
                <w:rFonts w:eastAsia="仿宋_GB2312"/>
                <w:color w:val="000000"/>
                <w:kern w:val="0"/>
                <w:sz w:val="24"/>
                <w:lang w:bidi="ar"/>
              </w:rPr>
              <w:t>推进</w:t>
            </w:r>
            <w:r>
              <w:rPr>
                <w:rFonts w:hint="eastAsia" w:eastAsia="仿宋_GB2312"/>
                <w:color w:val="000000"/>
                <w:kern w:val="0"/>
                <w:sz w:val="24"/>
                <w:lang w:bidi="ar"/>
              </w:rPr>
              <w:t>。</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color w:val="000000"/>
                <w:sz w:val="24"/>
              </w:rPr>
            </w:pPr>
            <w:r>
              <w:rPr>
                <w:rFonts w:eastAsia="仿宋_GB2312"/>
                <w:color w:val="000000"/>
                <w:kern w:val="0"/>
                <w:sz w:val="24"/>
                <w:lang w:bidi="ar"/>
              </w:rPr>
              <w:t>督促落实</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eastAsia="仿宋_GB2312"/>
                <w:color w:val="000000"/>
                <w:sz w:val="24"/>
              </w:rPr>
            </w:pPr>
          </w:p>
        </w:tc>
      </w:tr>
      <w:tr>
        <w:tblPrEx>
          <w:tblCellMar>
            <w:top w:w="0" w:type="dxa"/>
            <w:left w:w="108" w:type="dxa"/>
            <w:bottom w:w="0" w:type="dxa"/>
            <w:right w:w="108" w:type="dxa"/>
          </w:tblCellMar>
        </w:tblPrEx>
        <w:trPr>
          <w:trHeight w:val="1274" w:hRule="atLeast"/>
          <w:jc w:val="center"/>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eastAsia="仿宋_GB2312"/>
                <w:color w:val="000000"/>
                <w:sz w:val="24"/>
              </w:rPr>
            </w:pPr>
            <w:r>
              <w:rPr>
                <w:rFonts w:eastAsia="仿宋_GB2312"/>
                <w:color w:val="000000"/>
                <w:kern w:val="0"/>
                <w:sz w:val="24"/>
                <w:lang w:bidi="ar"/>
              </w:rPr>
              <w:t>（2）认真贯彻执行《淘汰落后危险化学品安全生产工艺技术设备目录》（第二批），推动有关企业按要求完成整治、改造退出。</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color w:val="000000"/>
                <w:sz w:val="24"/>
              </w:rPr>
            </w:pPr>
            <w:r>
              <w:rPr>
                <w:rFonts w:eastAsia="仿宋_GB2312"/>
                <w:color w:val="000000"/>
                <w:kern w:val="0"/>
                <w:sz w:val="24"/>
                <w:lang w:bidi="ar"/>
              </w:rPr>
              <w:t>持续推进</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color w:val="000000"/>
                <w:sz w:val="24"/>
              </w:rPr>
            </w:pPr>
            <w:r>
              <w:rPr>
                <w:rFonts w:hint="eastAsia" w:eastAsia="仿宋_GB2312"/>
                <w:color w:val="000000"/>
                <w:kern w:val="0"/>
                <w:sz w:val="24"/>
                <w:lang w:bidi="ar"/>
              </w:rPr>
              <w:t>统筹推进、</w:t>
            </w:r>
            <w:r>
              <w:rPr>
                <w:rFonts w:eastAsia="仿宋_GB2312"/>
                <w:color w:val="000000"/>
                <w:kern w:val="0"/>
                <w:sz w:val="24"/>
                <w:lang w:bidi="ar"/>
              </w:rPr>
              <w:t>监督检查、督促落实、报送情况</w:t>
            </w:r>
            <w:r>
              <w:rPr>
                <w:rFonts w:hint="eastAsia" w:eastAsia="仿宋_GB2312"/>
                <w:color w:val="000000"/>
                <w:kern w:val="0"/>
                <w:sz w:val="24"/>
                <w:lang w:bidi="ar"/>
              </w:rPr>
              <w:t>。</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color w:val="000000"/>
                <w:sz w:val="24"/>
              </w:rPr>
            </w:pPr>
            <w:r>
              <w:rPr>
                <w:rFonts w:eastAsia="仿宋_GB2312"/>
                <w:color w:val="000000"/>
                <w:kern w:val="0"/>
                <w:sz w:val="24"/>
                <w:lang w:bidi="ar"/>
              </w:rPr>
              <w:t>监督检查、督促落实、报送情况</w:t>
            </w:r>
            <w:r>
              <w:rPr>
                <w:rFonts w:hint="eastAsia" w:eastAsia="仿宋_GB2312"/>
                <w:color w:val="000000"/>
                <w:kern w:val="0"/>
                <w:sz w:val="24"/>
                <w:lang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eastAsia="仿宋_GB2312"/>
                <w:color w:val="000000"/>
                <w:sz w:val="24"/>
              </w:rPr>
            </w:pPr>
          </w:p>
        </w:tc>
      </w:tr>
      <w:tr>
        <w:tblPrEx>
          <w:tblCellMar>
            <w:top w:w="0" w:type="dxa"/>
            <w:left w:w="108" w:type="dxa"/>
            <w:bottom w:w="0" w:type="dxa"/>
            <w:right w:w="108" w:type="dxa"/>
          </w:tblCellMar>
        </w:tblPrEx>
        <w:trPr>
          <w:trHeight w:val="1263" w:hRule="atLeast"/>
          <w:jc w:val="center"/>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eastAsia="仿宋_GB2312"/>
                <w:color w:val="000000"/>
                <w:sz w:val="24"/>
              </w:rPr>
            </w:pPr>
            <w:r>
              <w:rPr>
                <w:rFonts w:hint="eastAsia" w:eastAsia="仿宋_GB2312"/>
                <w:color w:val="000000"/>
                <w:kern w:val="0"/>
                <w:sz w:val="24"/>
                <w:lang w:bidi="ar"/>
              </w:rPr>
              <w:t>（3）</w:t>
            </w:r>
            <w:r>
              <w:rPr>
                <w:rFonts w:eastAsia="仿宋_GB2312"/>
                <w:color w:val="000000"/>
                <w:kern w:val="0"/>
                <w:sz w:val="24"/>
                <w:lang w:bidi="ar"/>
              </w:rPr>
              <w:t>大力实施油气储存企业本质安全提升工程，推动城市建成区安全距离不足、人员密集区高风险油气库分类实施改造、搬迁或关闭。</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color w:val="000000"/>
                <w:sz w:val="24"/>
              </w:rPr>
            </w:pPr>
            <w:r>
              <w:rPr>
                <w:rFonts w:eastAsia="仿宋_GB2312"/>
                <w:color w:val="000000"/>
                <w:kern w:val="0"/>
                <w:sz w:val="24"/>
                <w:lang w:bidi="ar"/>
              </w:rPr>
              <w:t>持续推进</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color w:val="000000"/>
                <w:sz w:val="24"/>
              </w:rPr>
            </w:pPr>
            <w:r>
              <w:rPr>
                <w:rFonts w:hint="eastAsia" w:eastAsia="仿宋_GB2312"/>
                <w:color w:val="000000"/>
                <w:kern w:val="0"/>
                <w:sz w:val="24"/>
                <w:lang w:bidi="ar"/>
              </w:rPr>
              <w:t>统筹推进、</w:t>
            </w:r>
            <w:r>
              <w:rPr>
                <w:rFonts w:eastAsia="仿宋_GB2312"/>
                <w:color w:val="000000"/>
                <w:kern w:val="0"/>
                <w:sz w:val="24"/>
                <w:lang w:bidi="ar"/>
              </w:rPr>
              <w:t>监督检查、督促落实、报送情况</w:t>
            </w:r>
            <w:r>
              <w:rPr>
                <w:rFonts w:hint="eastAsia" w:eastAsia="仿宋_GB2312"/>
                <w:color w:val="000000"/>
                <w:kern w:val="0"/>
                <w:sz w:val="24"/>
                <w:lang w:bidi="ar"/>
              </w:rPr>
              <w:t>。</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color w:val="000000"/>
                <w:sz w:val="24"/>
              </w:rPr>
            </w:pPr>
            <w:r>
              <w:rPr>
                <w:rFonts w:eastAsia="仿宋_GB2312"/>
                <w:color w:val="000000"/>
                <w:kern w:val="0"/>
                <w:sz w:val="24"/>
                <w:lang w:bidi="ar"/>
              </w:rPr>
              <w:t>监督检查、督促落实、报送情况</w:t>
            </w:r>
            <w:r>
              <w:rPr>
                <w:rFonts w:hint="eastAsia" w:eastAsia="仿宋_GB2312"/>
                <w:color w:val="000000"/>
                <w:kern w:val="0"/>
                <w:sz w:val="24"/>
                <w:lang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eastAsia="仿宋_GB2312"/>
                <w:color w:val="000000"/>
                <w:sz w:val="24"/>
              </w:rPr>
            </w:pPr>
          </w:p>
        </w:tc>
      </w:tr>
      <w:tr>
        <w:tblPrEx>
          <w:tblCellMar>
            <w:top w:w="0" w:type="dxa"/>
            <w:left w:w="108" w:type="dxa"/>
            <w:bottom w:w="0" w:type="dxa"/>
            <w:right w:w="108" w:type="dxa"/>
          </w:tblCellMar>
        </w:tblPrEx>
        <w:trPr>
          <w:trHeight w:val="1408" w:hRule="atLeast"/>
          <w:jc w:val="center"/>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11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b/>
                <w:color w:val="000000"/>
                <w:sz w:val="24"/>
              </w:rPr>
            </w:pPr>
            <w:r>
              <w:rPr>
                <w:rFonts w:ascii="楷体" w:hAnsi="楷体" w:eastAsia="楷体" w:cs="楷体"/>
                <w:b/>
                <w:color w:val="000000"/>
                <w:kern w:val="0"/>
                <w:sz w:val="24"/>
                <w:lang w:bidi="ar"/>
              </w:rPr>
              <w:t>9.推进老旧装置设备安全分类整治</w:t>
            </w: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eastAsia="仿宋_GB2312"/>
                <w:color w:val="000000"/>
                <w:sz w:val="24"/>
              </w:rPr>
            </w:pPr>
            <w:r>
              <w:rPr>
                <w:rFonts w:eastAsia="仿宋_GB2312"/>
                <w:color w:val="000000"/>
                <w:kern w:val="0"/>
                <w:sz w:val="24"/>
                <w:lang w:bidi="ar"/>
              </w:rPr>
              <w:t>（1）以老旧化工装置、常压可燃有毒液体储罐为重点，明确要求、分类实施，坚决淘汰一批、退出一批、更新改造一批安全风险高的老旧装置设备，提高本质安全度。</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color w:val="000000"/>
                <w:sz w:val="24"/>
              </w:rPr>
            </w:pPr>
            <w:r>
              <w:rPr>
                <w:rFonts w:eastAsia="仿宋_GB2312"/>
                <w:color w:val="000000"/>
                <w:kern w:val="0"/>
                <w:sz w:val="24"/>
                <w:lang w:bidi="ar"/>
              </w:rPr>
              <w:t>持续推进</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eastAsia="仿宋_GB2312"/>
                <w:color w:val="000000"/>
                <w:sz w:val="24"/>
              </w:rPr>
            </w:pPr>
            <w:r>
              <w:rPr>
                <w:rFonts w:hint="eastAsia" w:eastAsia="仿宋_GB2312"/>
                <w:color w:val="000000"/>
                <w:kern w:val="0"/>
                <w:sz w:val="24"/>
                <w:lang w:bidi="ar"/>
              </w:rPr>
              <w:t>细化方案、</w:t>
            </w:r>
            <w:r>
              <w:rPr>
                <w:rFonts w:eastAsia="仿宋_GB2312"/>
                <w:color w:val="000000"/>
                <w:kern w:val="0"/>
                <w:sz w:val="24"/>
                <w:lang w:bidi="ar"/>
              </w:rPr>
              <w:t>监督检查、督促落实、报送情况</w:t>
            </w:r>
            <w:r>
              <w:rPr>
                <w:rFonts w:hint="eastAsia" w:eastAsia="仿宋_GB2312"/>
                <w:color w:val="000000"/>
                <w:kern w:val="0"/>
                <w:sz w:val="24"/>
                <w:lang w:bidi="ar"/>
              </w:rPr>
              <w:t>。</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eastAsia="仿宋_GB2312"/>
                <w:color w:val="000000"/>
                <w:sz w:val="24"/>
              </w:rPr>
            </w:pPr>
            <w:r>
              <w:rPr>
                <w:rFonts w:eastAsia="仿宋_GB2312"/>
                <w:color w:val="000000"/>
                <w:kern w:val="0"/>
                <w:sz w:val="24"/>
                <w:lang w:bidi="ar"/>
              </w:rPr>
              <w:t>监督检查、督促落实、报送情况</w:t>
            </w:r>
            <w:r>
              <w:rPr>
                <w:rFonts w:hint="eastAsia" w:eastAsia="仿宋_GB2312"/>
                <w:color w:val="000000"/>
                <w:kern w:val="0"/>
                <w:sz w:val="24"/>
                <w:lang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eastAsia="仿宋_GB2312"/>
                <w:color w:val="000000"/>
                <w:sz w:val="24"/>
              </w:rPr>
            </w:pPr>
          </w:p>
        </w:tc>
      </w:tr>
      <w:tr>
        <w:tblPrEx>
          <w:tblCellMar>
            <w:top w:w="0" w:type="dxa"/>
            <w:left w:w="108" w:type="dxa"/>
            <w:bottom w:w="0" w:type="dxa"/>
            <w:right w:w="108" w:type="dxa"/>
          </w:tblCellMar>
        </w:tblPrEx>
        <w:trPr>
          <w:trHeight w:val="2542" w:hRule="atLeast"/>
          <w:jc w:val="center"/>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spacing w:line="240" w:lineRule="exact"/>
              <w:textAlignment w:val="center"/>
              <w:rPr>
                <w:rFonts w:eastAsia="仿宋_GB2312"/>
                <w:color w:val="000000"/>
                <w:kern w:val="0"/>
                <w:sz w:val="24"/>
                <w:lang w:bidi="ar"/>
              </w:rPr>
            </w:pPr>
            <w:r>
              <w:rPr>
                <w:rFonts w:eastAsia="仿宋_GB2312"/>
                <w:color w:val="000000"/>
                <w:kern w:val="0"/>
                <w:sz w:val="24"/>
                <w:lang w:bidi="ar"/>
              </w:rPr>
              <w:t>突出动静设备，加快危险化学品生产企业现有老旧装置在册问题隐患整改销号，提高安全风险管控水平。</w:t>
            </w:r>
          </w:p>
          <w:p>
            <w:pPr>
              <w:widowControl/>
              <w:spacing w:line="240" w:lineRule="exact"/>
              <w:textAlignment w:val="center"/>
              <w:rPr>
                <w:rStyle w:val="13"/>
                <w:rFonts w:ascii="Times New Roman" w:cs="Times New Roman"/>
                <w:sz w:val="24"/>
                <w:szCs w:val="24"/>
                <w:lang w:bidi="ar"/>
              </w:rPr>
            </w:pPr>
            <w:r>
              <w:rPr>
                <w:rStyle w:val="12"/>
                <w:rFonts w:ascii="Times New Roman" w:hAnsi="Times New Roman" w:eastAsia="仿宋_GB2312" w:cs="Times New Roman"/>
                <w:b/>
                <w:bCs/>
                <w:sz w:val="24"/>
                <w:szCs w:val="24"/>
                <w:lang w:bidi="ar"/>
              </w:rPr>
              <w:t>一是</w:t>
            </w:r>
            <w:r>
              <w:rPr>
                <w:rStyle w:val="13"/>
                <w:rFonts w:ascii="Times New Roman" w:cs="Times New Roman"/>
                <w:sz w:val="24"/>
                <w:szCs w:val="24"/>
                <w:lang w:bidi="ar"/>
              </w:rPr>
              <w:t>组织企业对照《危险化学品生产使用企业老旧装置安全风险评估指南（试行）》开展自查，建立老旧装置在册问题隐患清单。</w:t>
            </w:r>
          </w:p>
          <w:p>
            <w:pPr>
              <w:widowControl/>
              <w:spacing w:line="240" w:lineRule="exact"/>
              <w:textAlignment w:val="center"/>
              <w:rPr>
                <w:rFonts w:eastAsia="仿宋_GB2312"/>
                <w:color w:val="000000"/>
                <w:sz w:val="24"/>
              </w:rPr>
            </w:pPr>
            <w:r>
              <w:rPr>
                <w:rStyle w:val="12"/>
                <w:rFonts w:ascii="Times New Roman" w:hAnsi="Times New Roman" w:eastAsia="仿宋_GB2312" w:cs="Times New Roman"/>
                <w:b/>
                <w:bCs/>
                <w:sz w:val="24"/>
                <w:szCs w:val="24"/>
                <w:lang w:bidi="ar"/>
              </w:rPr>
              <w:t>二是</w:t>
            </w:r>
            <w:r>
              <w:rPr>
                <w:rStyle w:val="13"/>
                <w:rFonts w:ascii="Times New Roman" w:cs="Times New Roman"/>
                <w:sz w:val="24"/>
                <w:szCs w:val="24"/>
                <w:lang w:bidi="ar"/>
              </w:rPr>
              <w:t>组织企业加强整改，逐项销号。</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color w:val="000000"/>
                <w:sz w:val="24"/>
              </w:rPr>
            </w:pPr>
            <w:r>
              <w:rPr>
                <w:rFonts w:eastAsia="仿宋_GB2312"/>
                <w:color w:val="000000"/>
                <w:kern w:val="0"/>
                <w:sz w:val="24"/>
                <w:lang w:bidi="ar"/>
              </w:rPr>
              <w:t>5月底前完成自查；1</w:t>
            </w:r>
            <w:r>
              <w:rPr>
                <w:rFonts w:hint="eastAsia" w:eastAsia="仿宋_GB2312"/>
                <w:color w:val="000000"/>
                <w:kern w:val="0"/>
                <w:sz w:val="24"/>
                <w:lang w:bidi="ar"/>
              </w:rPr>
              <w:t>0</w:t>
            </w:r>
            <w:r>
              <w:rPr>
                <w:rFonts w:eastAsia="仿宋_GB2312"/>
                <w:color w:val="000000"/>
                <w:kern w:val="0"/>
                <w:sz w:val="24"/>
                <w:lang w:bidi="ar"/>
              </w:rPr>
              <w:t>月底前完成销号</w:t>
            </w:r>
            <w:r>
              <w:rPr>
                <w:rFonts w:hint="eastAsia" w:eastAsia="仿宋_GB2312"/>
                <w:color w:val="000000"/>
                <w:kern w:val="0"/>
                <w:sz w:val="24"/>
                <w:lang w:bidi="ar"/>
              </w:rPr>
              <w:t>。</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eastAsia="仿宋_GB2312"/>
                <w:color w:val="000000"/>
                <w:sz w:val="24"/>
              </w:rPr>
            </w:pPr>
            <w:r>
              <w:rPr>
                <w:rFonts w:hint="eastAsia" w:eastAsia="仿宋_GB2312"/>
                <w:color w:val="000000"/>
                <w:kern w:val="0"/>
                <w:sz w:val="24"/>
                <w:lang w:bidi="ar"/>
              </w:rPr>
              <w:t>统筹督导、</w:t>
            </w:r>
            <w:r>
              <w:rPr>
                <w:rFonts w:eastAsia="仿宋_GB2312"/>
                <w:color w:val="000000"/>
                <w:kern w:val="0"/>
                <w:sz w:val="24"/>
                <w:lang w:bidi="ar"/>
              </w:rPr>
              <w:t>组织自查、督促整改、报送情况</w:t>
            </w:r>
            <w:r>
              <w:rPr>
                <w:rFonts w:hint="eastAsia" w:eastAsia="仿宋_GB2312"/>
                <w:color w:val="000000"/>
                <w:kern w:val="0"/>
                <w:sz w:val="24"/>
                <w:lang w:bidi="ar"/>
              </w:rPr>
              <w:t>。</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eastAsia="仿宋_GB2312"/>
                <w:color w:val="000000"/>
                <w:sz w:val="24"/>
              </w:rPr>
            </w:pPr>
            <w:r>
              <w:rPr>
                <w:rFonts w:eastAsia="仿宋_GB2312"/>
                <w:color w:val="000000"/>
                <w:kern w:val="0"/>
                <w:sz w:val="24"/>
                <w:lang w:bidi="ar"/>
              </w:rPr>
              <w:t>组织自查、督促整改、报送情况</w:t>
            </w:r>
            <w:r>
              <w:rPr>
                <w:rFonts w:hint="eastAsia" w:eastAsia="仿宋_GB2312"/>
                <w:color w:val="000000"/>
                <w:kern w:val="0"/>
                <w:sz w:val="24"/>
                <w:lang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eastAsia="仿宋_GB2312"/>
                <w:color w:val="000000"/>
                <w:sz w:val="24"/>
              </w:rPr>
            </w:pPr>
          </w:p>
        </w:tc>
      </w:tr>
      <w:tr>
        <w:tblPrEx>
          <w:tblCellMar>
            <w:top w:w="0" w:type="dxa"/>
            <w:left w:w="108" w:type="dxa"/>
            <w:bottom w:w="0" w:type="dxa"/>
            <w:right w:w="108" w:type="dxa"/>
          </w:tblCellMar>
        </w:tblPrEx>
        <w:trPr>
          <w:trHeight w:val="1971" w:hRule="atLeast"/>
          <w:jc w:val="center"/>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eastAsia="仿宋_GB2312"/>
                <w:color w:val="000000"/>
                <w:sz w:val="24"/>
              </w:rPr>
            </w:pPr>
            <w:r>
              <w:rPr>
                <w:rFonts w:eastAsia="仿宋_GB2312"/>
                <w:color w:val="000000"/>
                <w:kern w:val="0"/>
                <w:sz w:val="24"/>
                <w:lang w:bidi="ar"/>
              </w:rPr>
              <w:t>（3）按照《危险化学品生产使用企业老旧装置安全风险评估指南（试行）》要求，探索建立全州老旧装置排查、评估、治理动态管理机制，组织危险化学品生产企业开展自查评估，形成老旧装置清单并实施分类整治。</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color w:val="000000"/>
                <w:sz w:val="24"/>
              </w:rPr>
            </w:pPr>
            <w:r>
              <w:rPr>
                <w:rFonts w:eastAsia="仿宋_GB2312"/>
                <w:color w:val="000000"/>
                <w:kern w:val="0"/>
                <w:sz w:val="24"/>
                <w:lang w:bidi="ar"/>
              </w:rPr>
              <w:t>10月底前</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color w:val="000000"/>
                <w:sz w:val="24"/>
              </w:rPr>
            </w:pPr>
            <w:r>
              <w:rPr>
                <w:rFonts w:eastAsia="仿宋_GB2312"/>
                <w:color w:val="000000"/>
                <w:kern w:val="0"/>
                <w:sz w:val="24"/>
                <w:lang w:bidi="ar"/>
              </w:rPr>
              <w:t>推动落实</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color w:val="000000"/>
                <w:sz w:val="24"/>
              </w:rPr>
            </w:pPr>
            <w:r>
              <w:rPr>
                <w:rFonts w:eastAsia="仿宋_GB2312"/>
                <w:color w:val="000000"/>
                <w:kern w:val="0"/>
                <w:sz w:val="24"/>
                <w:lang w:bidi="ar"/>
              </w:rPr>
              <w:t>推动落实</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eastAsia="仿宋_GB2312"/>
                <w:color w:val="000000"/>
                <w:sz w:val="24"/>
              </w:rPr>
            </w:pPr>
          </w:p>
        </w:tc>
      </w:tr>
      <w:tr>
        <w:tblPrEx>
          <w:tblCellMar>
            <w:top w:w="0" w:type="dxa"/>
            <w:left w:w="108" w:type="dxa"/>
            <w:bottom w:w="0" w:type="dxa"/>
            <w:right w:w="108" w:type="dxa"/>
          </w:tblCellMar>
        </w:tblPrEx>
        <w:trPr>
          <w:trHeight w:val="1269" w:hRule="atLeast"/>
          <w:jc w:val="center"/>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11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b/>
                <w:color w:val="000000"/>
                <w:sz w:val="24"/>
              </w:rPr>
            </w:pPr>
            <w:r>
              <w:rPr>
                <w:rFonts w:ascii="楷体" w:hAnsi="楷体" w:eastAsia="楷体" w:cs="楷体"/>
                <w:b/>
                <w:color w:val="000000"/>
                <w:kern w:val="0"/>
                <w:sz w:val="24"/>
                <w:lang w:bidi="ar"/>
              </w:rPr>
              <w:t>10.推进重点县专家指导服务</w:t>
            </w: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eastAsia="仿宋_GB2312"/>
                <w:color w:val="000000"/>
                <w:sz w:val="24"/>
              </w:rPr>
            </w:pPr>
            <w:r>
              <w:rPr>
                <w:rFonts w:eastAsia="仿宋_GB2312"/>
                <w:color w:val="000000"/>
                <w:kern w:val="0"/>
                <w:sz w:val="24"/>
                <w:lang w:bidi="ar"/>
              </w:rPr>
              <w:t>（1）配合</w:t>
            </w:r>
            <w:r>
              <w:rPr>
                <w:rFonts w:hint="eastAsia" w:eastAsia="仿宋_GB2312"/>
                <w:color w:val="000000"/>
                <w:kern w:val="0"/>
                <w:sz w:val="24"/>
                <w:lang w:bidi="ar"/>
              </w:rPr>
              <w:t>州</w:t>
            </w:r>
            <w:r>
              <w:rPr>
                <w:rFonts w:eastAsia="仿宋_GB2312"/>
                <w:color w:val="000000"/>
                <w:kern w:val="0"/>
                <w:sz w:val="24"/>
                <w:lang w:bidi="ar"/>
              </w:rPr>
              <w:t>应急管理</w:t>
            </w:r>
            <w:r>
              <w:rPr>
                <w:rFonts w:hint="eastAsia" w:eastAsia="仿宋_GB2312"/>
                <w:color w:val="000000"/>
                <w:kern w:val="0"/>
                <w:sz w:val="24"/>
                <w:lang w:bidi="ar"/>
              </w:rPr>
              <w:t>局</w:t>
            </w:r>
            <w:r>
              <w:rPr>
                <w:rFonts w:eastAsia="仿宋_GB2312"/>
                <w:color w:val="000000"/>
                <w:kern w:val="0"/>
                <w:sz w:val="24"/>
                <w:lang w:bidi="ar"/>
              </w:rPr>
              <w:t>开展</w:t>
            </w:r>
            <w:r>
              <w:rPr>
                <w:rFonts w:hint="eastAsia" w:eastAsia="仿宋_GB2312"/>
                <w:color w:val="000000"/>
                <w:kern w:val="0"/>
                <w:sz w:val="24"/>
                <w:lang w:bidi="ar"/>
              </w:rPr>
              <w:t>州</w:t>
            </w:r>
            <w:r>
              <w:rPr>
                <w:rFonts w:eastAsia="仿宋_GB2312"/>
                <w:color w:val="000000"/>
                <w:kern w:val="0"/>
                <w:sz w:val="24"/>
                <w:lang w:bidi="ar"/>
              </w:rPr>
              <w:t>级危险化学品重点县（</w:t>
            </w:r>
            <w:r>
              <w:rPr>
                <w:rFonts w:hint="eastAsia" w:eastAsia="仿宋_GB2312"/>
                <w:color w:val="000000"/>
                <w:kern w:val="0"/>
                <w:sz w:val="24"/>
                <w:lang w:bidi="ar"/>
              </w:rPr>
              <w:t>永仁县</w:t>
            </w:r>
            <w:r>
              <w:rPr>
                <w:rFonts w:eastAsia="仿宋_GB2312"/>
                <w:color w:val="000000"/>
                <w:kern w:val="0"/>
                <w:sz w:val="24"/>
                <w:lang w:bidi="ar"/>
              </w:rPr>
              <w:t>）专家指导服务。</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eastAsia="仿宋_GB2312"/>
                <w:color w:val="000000"/>
                <w:sz w:val="24"/>
              </w:rPr>
            </w:pPr>
            <w:r>
              <w:rPr>
                <w:rFonts w:eastAsia="仿宋_GB2312"/>
                <w:color w:val="000000"/>
                <w:kern w:val="0"/>
                <w:sz w:val="24"/>
                <w:lang w:bidi="ar"/>
              </w:rPr>
              <w:t>4月底前完成自评、5月</w:t>
            </w:r>
            <w:r>
              <w:rPr>
                <w:rFonts w:hint="eastAsia" w:eastAsia="仿宋_GB2312"/>
                <w:color w:val="000000"/>
                <w:kern w:val="0"/>
                <w:sz w:val="24"/>
                <w:lang w:bidi="ar"/>
              </w:rPr>
              <w:t>20日前</w:t>
            </w:r>
            <w:r>
              <w:rPr>
                <w:rFonts w:eastAsia="仿宋_GB2312"/>
                <w:color w:val="000000"/>
                <w:kern w:val="0"/>
                <w:sz w:val="24"/>
                <w:lang w:bidi="ar"/>
              </w:rPr>
              <w:t>完成州级核查</w:t>
            </w:r>
            <w:r>
              <w:rPr>
                <w:rFonts w:hint="eastAsia" w:eastAsia="仿宋_GB2312"/>
                <w:color w:val="000000"/>
                <w:kern w:val="0"/>
                <w:sz w:val="24"/>
                <w:lang w:bidi="ar"/>
              </w:rPr>
              <w:t>。</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color w:val="000000"/>
                <w:sz w:val="24"/>
              </w:rPr>
            </w:pPr>
            <w:r>
              <w:rPr>
                <w:rFonts w:eastAsia="仿宋_GB2312"/>
                <w:color w:val="000000"/>
                <w:kern w:val="0"/>
                <w:sz w:val="24"/>
                <w:lang w:bidi="ar"/>
              </w:rPr>
              <w:t>组织自评、开展复核、督促整改</w:t>
            </w:r>
            <w:r>
              <w:rPr>
                <w:rFonts w:hint="eastAsia" w:eastAsia="仿宋_GB2312"/>
                <w:color w:val="000000"/>
                <w:kern w:val="0"/>
                <w:sz w:val="24"/>
                <w:lang w:bidi="ar"/>
              </w:rPr>
              <w:t>。</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eastAsia="仿宋_GB2312"/>
                <w:color w:val="000000"/>
                <w:sz w:val="24"/>
              </w:rPr>
            </w:pPr>
            <w:r>
              <w:rPr>
                <w:rFonts w:eastAsia="仿宋_GB2312"/>
                <w:color w:val="000000"/>
                <w:kern w:val="0"/>
                <w:sz w:val="24"/>
                <w:lang w:bidi="ar"/>
              </w:rPr>
              <w:t>组织自评、开展复核、督促整改</w:t>
            </w:r>
            <w:r>
              <w:rPr>
                <w:rFonts w:hint="eastAsia" w:eastAsia="仿宋_GB2312"/>
                <w:color w:val="000000"/>
                <w:kern w:val="0"/>
                <w:sz w:val="24"/>
                <w:lang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eastAsia="仿宋_GB2312"/>
                <w:color w:val="000000"/>
                <w:sz w:val="24"/>
              </w:rPr>
            </w:pPr>
          </w:p>
        </w:tc>
      </w:tr>
      <w:tr>
        <w:tblPrEx>
          <w:tblCellMar>
            <w:top w:w="0" w:type="dxa"/>
            <w:left w:w="108" w:type="dxa"/>
            <w:bottom w:w="0" w:type="dxa"/>
            <w:right w:w="108" w:type="dxa"/>
          </w:tblCellMar>
        </w:tblPrEx>
        <w:trPr>
          <w:trHeight w:val="1272" w:hRule="atLeast"/>
          <w:jc w:val="center"/>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eastAsia="仿宋_GB2312"/>
                <w:color w:val="000000"/>
                <w:sz w:val="24"/>
              </w:rPr>
            </w:pPr>
            <w:r>
              <w:rPr>
                <w:rFonts w:eastAsia="仿宋_GB2312"/>
                <w:color w:val="000000"/>
                <w:kern w:val="0"/>
                <w:sz w:val="24"/>
                <w:lang w:bidi="ar"/>
              </w:rPr>
              <w:t>（2）按照重点县有关企业自查、分级复核、专家指导的步骤</w:t>
            </w:r>
            <w:r>
              <w:rPr>
                <w:rFonts w:hint="eastAsia" w:eastAsia="仿宋_GB2312"/>
                <w:color w:val="000000"/>
                <w:kern w:val="0"/>
                <w:sz w:val="24"/>
                <w:lang w:bidi="ar"/>
              </w:rPr>
              <w:t>，</w:t>
            </w:r>
            <w:r>
              <w:rPr>
                <w:rFonts w:eastAsia="仿宋_GB2312"/>
                <w:color w:val="000000"/>
                <w:kern w:val="0"/>
                <w:sz w:val="24"/>
                <w:lang w:bidi="ar"/>
              </w:rPr>
              <w:t>开展1轮专家指导服务，实现对重点县（永仁县）企业指导服务全覆盖。</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eastAsia="仿宋_GB2312"/>
                <w:color w:val="000000"/>
                <w:sz w:val="24"/>
              </w:rPr>
            </w:pPr>
            <w:r>
              <w:rPr>
                <w:rFonts w:eastAsia="仿宋_GB2312"/>
                <w:color w:val="000000"/>
                <w:kern w:val="0"/>
                <w:sz w:val="24"/>
                <w:lang w:bidi="ar"/>
              </w:rPr>
              <w:t>4月底前完成自评、5月</w:t>
            </w:r>
            <w:r>
              <w:rPr>
                <w:rFonts w:hint="eastAsia" w:eastAsia="仿宋_GB2312"/>
                <w:color w:val="000000"/>
                <w:kern w:val="0"/>
                <w:sz w:val="24"/>
                <w:lang w:bidi="ar"/>
              </w:rPr>
              <w:t>20日前</w:t>
            </w:r>
            <w:r>
              <w:rPr>
                <w:rFonts w:eastAsia="仿宋_GB2312"/>
                <w:color w:val="000000"/>
                <w:kern w:val="0"/>
                <w:sz w:val="24"/>
                <w:lang w:bidi="ar"/>
              </w:rPr>
              <w:t>完成复核</w:t>
            </w:r>
            <w:r>
              <w:rPr>
                <w:rFonts w:hint="eastAsia" w:eastAsia="仿宋_GB2312"/>
                <w:color w:val="000000"/>
                <w:kern w:val="0"/>
                <w:sz w:val="24"/>
                <w:lang w:bidi="ar"/>
              </w:rPr>
              <w:t>。</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eastAsia="仿宋_GB2312"/>
                <w:color w:val="000000"/>
                <w:sz w:val="24"/>
              </w:rPr>
            </w:pPr>
            <w:r>
              <w:rPr>
                <w:rFonts w:eastAsia="仿宋_GB2312"/>
                <w:color w:val="000000"/>
                <w:kern w:val="0"/>
                <w:sz w:val="24"/>
                <w:lang w:bidi="ar"/>
              </w:rPr>
              <w:t>组织自评、开展复核、督促整改</w:t>
            </w:r>
            <w:r>
              <w:rPr>
                <w:rFonts w:hint="eastAsia" w:eastAsia="仿宋_GB2312"/>
                <w:color w:val="000000"/>
                <w:kern w:val="0"/>
                <w:sz w:val="24"/>
                <w:lang w:bidi="ar"/>
              </w:rPr>
              <w:t>。</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eastAsia="仿宋_GB2312"/>
                <w:color w:val="000000"/>
                <w:sz w:val="24"/>
              </w:rPr>
            </w:pPr>
            <w:r>
              <w:rPr>
                <w:rFonts w:eastAsia="仿宋_GB2312"/>
                <w:color w:val="000000"/>
                <w:kern w:val="0"/>
                <w:sz w:val="24"/>
                <w:lang w:bidi="ar"/>
              </w:rPr>
              <w:t>组织自评、开展复核、督促整改</w:t>
            </w:r>
            <w:r>
              <w:rPr>
                <w:rFonts w:hint="eastAsia" w:eastAsia="仿宋_GB2312"/>
                <w:color w:val="000000"/>
                <w:kern w:val="0"/>
                <w:sz w:val="24"/>
                <w:lang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eastAsia="仿宋_GB2312"/>
                <w:color w:val="000000"/>
                <w:sz w:val="24"/>
              </w:rPr>
            </w:pPr>
          </w:p>
        </w:tc>
      </w:tr>
      <w:tr>
        <w:tblPrEx>
          <w:tblCellMar>
            <w:top w:w="0" w:type="dxa"/>
            <w:left w:w="108" w:type="dxa"/>
            <w:bottom w:w="0" w:type="dxa"/>
            <w:right w:w="108" w:type="dxa"/>
          </w:tblCellMar>
        </w:tblPrEx>
        <w:trPr>
          <w:trHeight w:val="2539" w:hRule="atLeast"/>
          <w:jc w:val="center"/>
        </w:trPr>
        <w:tc>
          <w:tcPr>
            <w:tcW w:w="559" w:type="dxa"/>
            <w:vMerge w:val="restar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b/>
                <w:color w:val="000000"/>
                <w:sz w:val="24"/>
              </w:rPr>
            </w:pPr>
            <w:r>
              <w:rPr>
                <w:rFonts w:hint="eastAsia" w:ascii="黑体" w:hAnsi="黑体" w:eastAsia="黑体" w:cs="黑体"/>
                <w:b/>
                <w:color w:val="000000"/>
                <w:kern w:val="0"/>
                <w:sz w:val="24"/>
                <w:lang w:bidi="ar"/>
              </w:rPr>
              <w:t>二</w:t>
            </w:r>
          </w:p>
        </w:tc>
        <w:tc>
          <w:tcPr>
            <w:tcW w:w="848" w:type="dxa"/>
            <w:vMerge w:val="restar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b/>
                <w:color w:val="000000"/>
                <w:sz w:val="24"/>
              </w:rPr>
            </w:pPr>
            <w:r>
              <w:rPr>
                <w:rFonts w:ascii="楷体" w:hAnsi="楷体" w:eastAsia="楷体" w:cs="楷体"/>
                <w:b/>
                <w:color w:val="000000"/>
                <w:kern w:val="0"/>
                <w:sz w:val="24"/>
                <w:lang w:bidi="ar"/>
              </w:rPr>
              <w:t>提升从业人员技能素质</w:t>
            </w:r>
          </w:p>
        </w:tc>
        <w:tc>
          <w:tcPr>
            <w:tcW w:w="11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b/>
                <w:color w:val="000000"/>
                <w:sz w:val="24"/>
              </w:rPr>
            </w:pPr>
            <w:r>
              <w:rPr>
                <w:rFonts w:ascii="楷体" w:hAnsi="楷体" w:eastAsia="楷体" w:cs="楷体"/>
                <w:b/>
                <w:color w:val="000000"/>
                <w:kern w:val="0"/>
                <w:sz w:val="24"/>
                <w:lang w:bidi="ar"/>
              </w:rPr>
              <w:t>11.加强从业人员资格监督管理</w:t>
            </w: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eastAsia="仿宋_GB2312"/>
                <w:sz w:val="24"/>
              </w:rPr>
            </w:pPr>
            <w:r>
              <w:rPr>
                <w:rFonts w:eastAsia="仿宋_GB2312"/>
                <w:kern w:val="0"/>
                <w:sz w:val="24"/>
                <w:lang w:bidi="ar"/>
              </w:rPr>
              <w:t>（1）加强企业主要负责人、安全生产管理人员培训考核、特种作业人员持证上岗的监督检查，督促危险化学品生产企业严格落实两办意见中关于从业人员学历资质准入的要求，把主要负责人、安全管理人员培训考核合格、特种作业人员持证上岗、从业人员初次培训、每年再培训作为年度执法检查重点。</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eastAsia="仿宋_GB2312"/>
                <w:sz w:val="24"/>
              </w:rPr>
            </w:pPr>
            <w:r>
              <w:rPr>
                <w:rFonts w:hint="eastAsia" w:eastAsia="仿宋_GB2312"/>
                <w:sz w:val="24"/>
              </w:rPr>
              <w:t>持续推进</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eastAsia="仿宋_GB2312"/>
                <w:sz w:val="24"/>
              </w:rPr>
            </w:pPr>
            <w:r>
              <w:rPr>
                <w:rFonts w:hint="eastAsia" w:eastAsia="仿宋_GB2312"/>
                <w:sz w:val="24"/>
              </w:rPr>
              <w:t>常态化开展检查核查，严格监管执法。</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eastAsia="仿宋_GB2312"/>
                <w:sz w:val="24"/>
              </w:rPr>
            </w:pPr>
            <w:r>
              <w:rPr>
                <w:rFonts w:hint="eastAsia" w:eastAsia="仿宋_GB2312"/>
                <w:sz w:val="24"/>
              </w:rPr>
              <w:t>常态化开展检查，严格监管执法。</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eastAsia="仿宋_GB2312"/>
                <w:sz w:val="24"/>
              </w:rPr>
            </w:pPr>
          </w:p>
        </w:tc>
      </w:tr>
      <w:tr>
        <w:tblPrEx>
          <w:tblCellMar>
            <w:top w:w="0" w:type="dxa"/>
            <w:left w:w="108" w:type="dxa"/>
            <w:bottom w:w="0" w:type="dxa"/>
            <w:right w:w="108" w:type="dxa"/>
          </w:tblCellMar>
        </w:tblPrEx>
        <w:trPr>
          <w:trHeight w:val="2258" w:hRule="atLeast"/>
          <w:jc w:val="center"/>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8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eastAsia="仿宋_GB2312"/>
                <w:sz w:val="24"/>
              </w:rPr>
            </w:pPr>
            <w:r>
              <w:rPr>
                <w:rFonts w:eastAsia="仿宋_GB2312"/>
                <w:kern w:val="0"/>
                <w:sz w:val="24"/>
                <w:lang w:bidi="ar"/>
              </w:rPr>
              <w:t>（2）严格安全生产知识、管理能力考核管理，确保企业主要负责人成为安全生产“带头人”、安全管理机构负责人成为安全生产“明白人”，推动企业开设“安全大讲堂”，常态化开展企业主要负责人、车间主任、班组长、一线员工宣讲安全风险辨识管控、隐患排查治理等安全知识。</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eastAsia="仿宋_GB2312"/>
                <w:sz w:val="24"/>
              </w:rPr>
            </w:pPr>
            <w:r>
              <w:rPr>
                <w:rFonts w:hint="eastAsia" w:eastAsia="仿宋_GB2312"/>
                <w:sz w:val="24"/>
              </w:rPr>
              <w:t>持续推进</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eastAsia="仿宋_GB2312"/>
                <w:sz w:val="24"/>
              </w:rPr>
            </w:pPr>
            <w:r>
              <w:rPr>
                <w:rFonts w:hint="eastAsia" w:eastAsia="仿宋_GB2312"/>
                <w:sz w:val="24"/>
              </w:rPr>
              <w:t>统筹推动、督促落实。</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eastAsia="仿宋_GB2312"/>
                <w:sz w:val="24"/>
              </w:rPr>
            </w:pPr>
            <w:r>
              <w:rPr>
                <w:rFonts w:hint="eastAsia" w:eastAsia="仿宋_GB2312"/>
                <w:sz w:val="24"/>
              </w:rPr>
              <w:t>统筹推动、督促落实。</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eastAsia="仿宋_GB2312"/>
                <w:sz w:val="24"/>
              </w:rPr>
            </w:pPr>
          </w:p>
        </w:tc>
      </w:tr>
      <w:tr>
        <w:tblPrEx>
          <w:tblCellMar>
            <w:top w:w="0" w:type="dxa"/>
            <w:left w:w="108" w:type="dxa"/>
            <w:bottom w:w="0" w:type="dxa"/>
            <w:right w:w="108" w:type="dxa"/>
          </w:tblCellMar>
        </w:tblPrEx>
        <w:trPr>
          <w:trHeight w:val="1273" w:hRule="atLeast"/>
          <w:jc w:val="center"/>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8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eastAsia="仿宋_GB2312"/>
                <w:sz w:val="24"/>
              </w:rPr>
            </w:pPr>
            <w:r>
              <w:rPr>
                <w:rFonts w:eastAsia="仿宋_GB2312"/>
                <w:kern w:val="0"/>
                <w:sz w:val="24"/>
                <w:lang w:bidi="ar"/>
              </w:rPr>
              <w:t>（3）监督危险物品生产、储存、装卸单位按照法律法规要求配备注册安全工程师从事安全生产管理工作。</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eastAsia="仿宋_GB2312"/>
                <w:sz w:val="24"/>
              </w:rPr>
            </w:pPr>
            <w:r>
              <w:rPr>
                <w:rFonts w:hint="eastAsia" w:eastAsia="仿宋_GB2312"/>
                <w:sz w:val="24"/>
              </w:rPr>
              <w:t>持续推进</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eastAsia="仿宋_GB2312"/>
                <w:sz w:val="24"/>
              </w:rPr>
            </w:pPr>
            <w:r>
              <w:rPr>
                <w:rFonts w:hint="eastAsia" w:eastAsia="仿宋_GB2312"/>
                <w:sz w:val="24"/>
              </w:rPr>
              <w:t>常态化开展抽查核查，严格监管执法。</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eastAsia="仿宋_GB2312"/>
                <w:sz w:val="24"/>
              </w:rPr>
            </w:pPr>
            <w:r>
              <w:rPr>
                <w:rFonts w:hint="eastAsia" w:eastAsia="仿宋_GB2312"/>
                <w:sz w:val="24"/>
              </w:rPr>
              <w:t>常态化开展抽查核查，严格监管执法。</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eastAsia="仿宋_GB2312"/>
                <w:sz w:val="24"/>
              </w:rPr>
            </w:pPr>
          </w:p>
        </w:tc>
      </w:tr>
      <w:tr>
        <w:tblPrEx>
          <w:tblCellMar>
            <w:top w:w="0" w:type="dxa"/>
            <w:left w:w="108" w:type="dxa"/>
            <w:bottom w:w="0" w:type="dxa"/>
            <w:right w:w="108" w:type="dxa"/>
          </w:tblCellMar>
        </w:tblPrEx>
        <w:trPr>
          <w:trHeight w:val="2808" w:hRule="atLeast"/>
          <w:jc w:val="center"/>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8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113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b/>
                <w:sz w:val="24"/>
              </w:rPr>
            </w:pPr>
            <w:r>
              <w:rPr>
                <w:rFonts w:ascii="楷体" w:hAnsi="楷体" w:eastAsia="楷体" w:cs="楷体"/>
                <w:b/>
                <w:kern w:val="0"/>
                <w:sz w:val="24"/>
                <w:lang w:bidi="ar"/>
              </w:rPr>
              <w:t>12.全覆盖开展企业从业人员安全培训</w:t>
            </w: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eastAsia="仿宋_GB2312"/>
                <w:sz w:val="24"/>
              </w:rPr>
            </w:pPr>
            <w:r>
              <w:rPr>
                <w:rFonts w:eastAsia="仿宋_GB2312"/>
                <w:kern w:val="0"/>
                <w:sz w:val="24"/>
                <w:lang w:bidi="ar"/>
              </w:rPr>
              <w:t>借助多方力量，采取分区域、分层级、研讨交流、集中培训、交叉互查、跟班学习、走出去、请进来等多种方式，分级分期分批开展危险化学品生产储存企业主要负责人、分管负责人、安全管理机构负责人以及</w:t>
            </w:r>
            <w:r>
              <w:rPr>
                <w:rFonts w:hint="eastAsia" w:eastAsia="仿宋_GB2312"/>
                <w:kern w:val="0"/>
                <w:sz w:val="24"/>
                <w:lang w:bidi="ar"/>
              </w:rPr>
              <w:t>经营单位主要负责人、安全管理人员、</w:t>
            </w:r>
            <w:r>
              <w:rPr>
                <w:rFonts w:eastAsia="仿宋_GB2312"/>
                <w:kern w:val="0"/>
                <w:sz w:val="24"/>
                <w:lang w:bidi="ar"/>
              </w:rPr>
              <w:t>从业人员安全能力素质全覆盖培训，严格企业主要负责人安全知识、管理能力考核。</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eastAsia="仿宋_GB2312"/>
                <w:sz w:val="24"/>
              </w:rPr>
            </w:pPr>
            <w:r>
              <w:rPr>
                <w:rFonts w:hint="eastAsia" w:eastAsia="仿宋_GB2312"/>
                <w:sz w:val="24"/>
              </w:rPr>
              <w:t>省厅</w:t>
            </w:r>
            <w:r>
              <w:rPr>
                <w:rFonts w:eastAsia="仿宋_GB2312"/>
                <w:sz w:val="24"/>
              </w:rPr>
              <w:t>于7月底、</w:t>
            </w:r>
            <w:r>
              <w:rPr>
                <w:rFonts w:hint="eastAsia" w:eastAsia="仿宋_GB2312"/>
                <w:sz w:val="24"/>
              </w:rPr>
              <w:t>州局于</w:t>
            </w:r>
            <w:r>
              <w:rPr>
                <w:rFonts w:eastAsia="仿宋_GB2312"/>
                <w:sz w:val="24"/>
              </w:rPr>
              <w:t>8月底、</w:t>
            </w:r>
            <w:r>
              <w:rPr>
                <w:rFonts w:hint="eastAsia" w:eastAsia="仿宋_GB2312"/>
                <w:sz w:val="24"/>
              </w:rPr>
              <w:t>县市局于</w:t>
            </w:r>
            <w:r>
              <w:rPr>
                <w:rFonts w:eastAsia="仿宋_GB2312"/>
                <w:sz w:val="24"/>
              </w:rPr>
              <w:t>9月底前</w:t>
            </w:r>
            <w:r>
              <w:rPr>
                <w:rFonts w:hint="eastAsia" w:eastAsia="仿宋_GB2312"/>
                <w:sz w:val="24"/>
              </w:rPr>
              <w:t>分期分批分别组织完成培训</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eastAsia="仿宋_GB2312"/>
                <w:sz w:val="24"/>
              </w:rPr>
            </w:pPr>
            <w:r>
              <w:rPr>
                <w:rFonts w:eastAsia="仿宋_GB2312"/>
                <w:sz w:val="24"/>
              </w:rPr>
              <w:t>配合</w:t>
            </w:r>
            <w:r>
              <w:rPr>
                <w:rFonts w:hint="eastAsia" w:eastAsia="仿宋_GB2312"/>
                <w:sz w:val="24"/>
              </w:rPr>
              <w:t>州</w:t>
            </w:r>
            <w:r>
              <w:rPr>
                <w:rFonts w:eastAsia="仿宋_GB2312"/>
                <w:sz w:val="24"/>
              </w:rPr>
              <w:t>应急管理</w:t>
            </w:r>
            <w:r>
              <w:rPr>
                <w:rFonts w:hint="eastAsia" w:eastAsia="仿宋_GB2312"/>
                <w:sz w:val="24"/>
              </w:rPr>
              <w:t>局</w:t>
            </w:r>
            <w:r>
              <w:rPr>
                <w:rFonts w:eastAsia="仿宋_GB2312"/>
                <w:sz w:val="24"/>
              </w:rPr>
              <w:t>组织生产、储存企业主要负责人参加培训，负责组织生产、储存企业分管负责人、安管负责人培训</w:t>
            </w:r>
            <w:r>
              <w:rPr>
                <w:rFonts w:hint="eastAsia" w:eastAsia="仿宋_GB2312"/>
                <w:sz w:val="24"/>
              </w:rPr>
              <w:t>。</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eastAsia="仿宋_GB2312"/>
                <w:sz w:val="24"/>
              </w:rPr>
            </w:pPr>
            <w:r>
              <w:rPr>
                <w:rFonts w:eastAsia="仿宋_GB2312"/>
                <w:sz w:val="24"/>
              </w:rPr>
              <w:t>组织有关企业按要求参加州局组织的培训，负责组织辖区内经营单位主要负责人、安管负责人培训</w:t>
            </w:r>
            <w:r>
              <w:rPr>
                <w:rFonts w:hint="eastAsia" w:eastAsia="仿宋_GB2312"/>
                <w:sz w:val="24"/>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eastAsia="仿宋_GB2312"/>
                <w:sz w:val="24"/>
              </w:rPr>
            </w:pPr>
          </w:p>
        </w:tc>
      </w:tr>
      <w:tr>
        <w:tblPrEx>
          <w:tblCellMar>
            <w:top w:w="0" w:type="dxa"/>
            <w:left w:w="108" w:type="dxa"/>
            <w:bottom w:w="0" w:type="dxa"/>
            <w:right w:w="108" w:type="dxa"/>
          </w:tblCellMar>
        </w:tblPrEx>
        <w:trPr>
          <w:trHeight w:val="2250" w:hRule="atLeast"/>
          <w:jc w:val="center"/>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color w:val="000000"/>
                <w:sz w:val="24"/>
              </w:rPr>
            </w:pPr>
            <w:r>
              <w:rPr>
                <w:rFonts w:hint="eastAsia" w:ascii="黑体" w:hAnsi="黑体" w:eastAsia="黑体" w:cs="黑体"/>
                <w:color w:val="000000"/>
                <w:kern w:val="0"/>
                <w:sz w:val="24"/>
                <w:lang w:bidi="ar"/>
              </w:rPr>
              <w:t>三</w:t>
            </w:r>
          </w:p>
        </w:tc>
        <w:tc>
          <w:tcPr>
            <w:tcW w:w="848"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b/>
                <w:color w:val="000000"/>
                <w:sz w:val="24"/>
              </w:rPr>
            </w:pPr>
            <w:r>
              <w:rPr>
                <w:rFonts w:ascii="楷体" w:hAnsi="楷体" w:eastAsia="楷体" w:cs="楷体"/>
                <w:b/>
                <w:color w:val="000000"/>
                <w:kern w:val="0"/>
                <w:sz w:val="24"/>
                <w:lang w:bidi="ar"/>
              </w:rPr>
              <w:t>提升信息化智能化管控水平</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b/>
                <w:color w:val="000000"/>
                <w:sz w:val="24"/>
              </w:rPr>
            </w:pPr>
            <w:r>
              <w:rPr>
                <w:rFonts w:ascii="楷体" w:hAnsi="楷体" w:eastAsia="楷体" w:cs="楷体"/>
                <w:b/>
                <w:color w:val="000000"/>
                <w:kern w:val="0"/>
                <w:sz w:val="24"/>
                <w:lang w:bidi="ar"/>
              </w:rPr>
              <w:t>13.落实好部级系统升级应用</w:t>
            </w: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eastAsia="仿宋_GB2312"/>
                <w:color w:val="000000"/>
                <w:sz w:val="24"/>
              </w:rPr>
            </w:pPr>
            <w:r>
              <w:rPr>
                <w:rFonts w:eastAsia="仿宋_GB2312"/>
                <w:color w:val="000000"/>
                <w:kern w:val="0"/>
                <w:sz w:val="24"/>
                <w:lang w:bidi="ar"/>
              </w:rPr>
              <w:t>按照应急管理部安排部署，持续部署升级、深化应用有关信息系统，重点抓好数据对接、数据整理、数据应用、查缺补漏等工作，切实发挥信息化系统作用，逐步实现靶向精准监管</w:t>
            </w:r>
            <w:r>
              <w:rPr>
                <w:rFonts w:hint="eastAsia" w:eastAsia="仿宋_GB2312"/>
                <w:color w:val="000000"/>
                <w:kern w:val="0"/>
                <w:sz w:val="24"/>
                <w:lang w:bidi="ar"/>
              </w:rPr>
              <w:t>。督促指导推进油气长输管道安全风险监测预警系统应用建设</w:t>
            </w:r>
            <w:r>
              <w:rPr>
                <w:rFonts w:eastAsia="仿宋_GB2312"/>
                <w:color w:val="000000"/>
                <w:kern w:val="0"/>
                <w:sz w:val="24"/>
                <w:lang w:bidi="ar"/>
              </w:rPr>
              <w:t>。</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color w:val="000000"/>
                <w:sz w:val="24"/>
              </w:rPr>
            </w:pPr>
            <w:r>
              <w:rPr>
                <w:rFonts w:eastAsia="仿宋_GB2312"/>
                <w:color w:val="000000"/>
                <w:kern w:val="0"/>
                <w:sz w:val="24"/>
                <w:lang w:bidi="ar"/>
              </w:rPr>
              <w:t>持续推进</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color w:val="000000"/>
                <w:sz w:val="24"/>
              </w:rPr>
            </w:pPr>
            <w:r>
              <w:rPr>
                <w:rFonts w:eastAsia="仿宋_GB2312"/>
                <w:color w:val="000000"/>
                <w:kern w:val="0"/>
                <w:sz w:val="24"/>
                <w:lang w:bidi="ar"/>
              </w:rPr>
              <w:t>督促指导</w:t>
            </w:r>
            <w:r>
              <w:rPr>
                <w:rFonts w:hint="eastAsia" w:eastAsia="仿宋_GB2312"/>
                <w:color w:val="000000"/>
                <w:kern w:val="0"/>
                <w:sz w:val="24"/>
                <w:lang w:bidi="ar"/>
              </w:rPr>
              <w:t>县内</w:t>
            </w:r>
            <w:r>
              <w:rPr>
                <w:rFonts w:eastAsia="仿宋_GB2312"/>
                <w:color w:val="000000"/>
                <w:kern w:val="0"/>
                <w:sz w:val="24"/>
                <w:lang w:bidi="ar"/>
              </w:rPr>
              <w:t>企业做好信息系统深化应用工作，并在相关信息系统中及时填报工作推进数据</w:t>
            </w:r>
            <w:r>
              <w:rPr>
                <w:rFonts w:hint="eastAsia" w:eastAsia="仿宋_GB2312"/>
                <w:color w:val="000000"/>
                <w:kern w:val="0"/>
                <w:sz w:val="24"/>
                <w:lang w:bidi="ar"/>
              </w:rPr>
              <w:t>。</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color w:val="000000"/>
                <w:sz w:val="24"/>
              </w:rPr>
            </w:pPr>
            <w:r>
              <w:rPr>
                <w:rFonts w:eastAsia="仿宋_GB2312"/>
                <w:color w:val="000000"/>
                <w:kern w:val="0"/>
                <w:sz w:val="24"/>
                <w:lang w:bidi="ar"/>
              </w:rPr>
              <w:t>督促</w:t>
            </w:r>
            <w:r>
              <w:rPr>
                <w:rFonts w:hint="eastAsia" w:eastAsia="仿宋_GB2312"/>
                <w:color w:val="000000"/>
                <w:kern w:val="0"/>
                <w:sz w:val="24"/>
                <w:lang w:bidi="ar"/>
              </w:rPr>
              <w:t>本辖区</w:t>
            </w:r>
            <w:r>
              <w:rPr>
                <w:rFonts w:eastAsia="仿宋_GB2312"/>
                <w:color w:val="000000"/>
                <w:kern w:val="0"/>
                <w:sz w:val="24"/>
                <w:lang w:bidi="ar"/>
              </w:rPr>
              <w:t>企业做好信息系统深化应用工作，并在相关信息系统中及时填报工作推进数据</w:t>
            </w:r>
            <w:r>
              <w:rPr>
                <w:rFonts w:hint="eastAsia" w:eastAsia="仿宋_GB2312"/>
                <w:color w:val="000000"/>
                <w:kern w:val="0"/>
                <w:sz w:val="24"/>
                <w:lang w:bidi="ar"/>
              </w:rPr>
              <w:t>。</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eastAsia="仿宋_GB2312"/>
                <w:color w:val="000000"/>
                <w:sz w:val="24"/>
              </w:rPr>
            </w:pPr>
          </w:p>
        </w:tc>
      </w:tr>
      <w:tr>
        <w:tblPrEx>
          <w:tblCellMar>
            <w:top w:w="0" w:type="dxa"/>
            <w:left w:w="108" w:type="dxa"/>
            <w:bottom w:w="0" w:type="dxa"/>
            <w:right w:w="108" w:type="dxa"/>
          </w:tblCellMar>
        </w:tblPrEx>
        <w:trPr>
          <w:trHeight w:val="1500" w:hRule="atLeast"/>
          <w:jc w:val="center"/>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rPr>
                <w:rFonts w:ascii="楷体" w:hAnsi="楷体" w:eastAsia="楷体" w:cs="楷体"/>
                <w:color w:val="000000"/>
                <w:sz w:val="24"/>
              </w:rPr>
            </w:pPr>
          </w:p>
        </w:tc>
        <w:tc>
          <w:tcPr>
            <w:tcW w:w="8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11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b/>
                <w:color w:val="000000"/>
                <w:sz w:val="24"/>
              </w:rPr>
            </w:pPr>
            <w:r>
              <w:rPr>
                <w:rFonts w:ascii="楷体" w:hAnsi="楷体" w:eastAsia="楷体" w:cs="楷体"/>
                <w:b/>
                <w:color w:val="000000"/>
                <w:kern w:val="0"/>
                <w:sz w:val="24"/>
                <w:lang w:bidi="ar"/>
              </w:rPr>
              <w:t>14.深化双重预防机制数字化系统运用</w:t>
            </w: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eastAsia="仿宋_GB2312"/>
                <w:color w:val="000000"/>
                <w:sz w:val="24"/>
              </w:rPr>
            </w:pPr>
            <w:r>
              <w:rPr>
                <w:rFonts w:eastAsia="仿宋_GB2312"/>
                <w:color w:val="000000"/>
                <w:kern w:val="0"/>
                <w:sz w:val="24"/>
                <w:lang w:bidi="ar"/>
              </w:rPr>
              <w:t>（1）持续推动重大危险源企业各岗位履职应用，不断提升运行优良率，以双重预防机制数字化应用推动落实全员安全生产责任制。</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color w:val="000000"/>
                <w:sz w:val="24"/>
              </w:rPr>
            </w:pPr>
            <w:r>
              <w:rPr>
                <w:rFonts w:eastAsia="仿宋_GB2312"/>
                <w:color w:val="000000"/>
                <w:kern w:val="0"/>
                <w:sz w:val="24"/>
                <w:lang w:bidi="ar"/>
              </w:rPr>
              <w:t>持续推进</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color w:val="000000"/>
                <w:sz w:val="24"/>
              </w:rPr>
            </w:pPr>
            <w:r>
              <w:rPr>
                <w:rFonts w:eastAsia="仿宋_GB2312"/>
                <w:color w:val="000000"/>
                <w:kern w:val="0"/>
                <w:sz w:val="24"/>
                <w:lang w:bidi="ar"/>
              </w:rPr>
              <w:t>在线</w:t>
            </w:r>
            <w:r>
              <w:rPr>
                <w:rFonts w:hint="eastAsia" w:eastAsia="仿宋_GB2312"/>
                <w:color w:val="000000"/>
                <w:kern w:val="0"/>
                <w:sz w:val="24"/>
                <w:lang w:bidi="ar"/>
              </w:rPr>
              <w:t>抽查</w:t>
            </w:r>
            <w:r>
              <w:rPr>
                <w:rFonts w:eastAsia="仿宋_GB2312"/>
                <w:color w:val="000000"/>
                <w:kern w:val="0"/>
                <w:sz w:val="24"/>
                <w:lang w:bidi="ar"/>
              </w:rPr>
              <w:t>、线下</w:t>
            </w:r>
            <w:r>
              <w:rPr>
                <w:rFonts w:hint="eastAsia" w:eastAsia="仿宋_GB2312"/>
                <w:color w:val="000000"/>
                <w:kern w:val="0"/>
                <w:sz w:val="24"/>
                <w:lang w:bidi="ar"/>
              </w:rPr>
              <w:t>检查</w:t>
            </w:r>
            <w:r>
              <w:rPr>
                <w:rFonts w:eastAsia="仿宋_GB2312"/>
                <w:color w:val="000000"/>
                <w:kern w:val="0"/>
                <w:sz w:val="24"/>
                <w:lang w:bidi="ar"/>
              </w:rPr>
              <w:t>、督促指导、监督执法</w:t>
            </w:r>
            <w:r>
              <w:rPr>
                <w:rFonts w:hint="eastAsia" w:eastAsia="仿宋_GB2312"/>
                <w:color w:val="000000"/>
                <w:kern w:val="0"/>
                <w:sz w:val="24"/>
                <w:lang w:bidi="ar"/>
              </w:rPr>
              <w:t>。</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color w:val="000000"/>
                <w:sz w:val="24"/>
              </w:rPr>
            </w:pPr>
            <w:r>
              <w:rPr>
                <w:rFonts w:eastAsia="仿宋_GB2312"/>
                <w:color w:val="000000"/>
                <w:kern w:val="0"/>
                <w:sz w:val="24"/>
                <w:lang w:bidi="ar"/>
              </w:rPr>
              <w:t>线下检查，督促指导、监督执法</w:t>
            </w:r>
            <w:r>
              <w:rPr>
                <w:rFonts w:hint="eastAsia" w:eastAsia="仿宋_GB2312"/>
                <w:color w:val="000000"/>
                <w:kern w:val="0"/>
                <w:sz w:val="24"/>
                <w:lang w:bidi="ar"/>
              </w:rPr>
              <w:t>。</w:t>
            </w:r>
          </w:p>
        </w:tc>
        <w:tc>
          <w:tcPr>
            <w:tcW w:w="1305" w:type="dxa"/>
            <w:tcBorders>
              <w:top w:val="single" w:color="000000" w:sz="4" w:space="0"/>
              <w:left w:val="single" w:color="000000" w:sz="4" w:space="0"/>
              <w:right w:val="single" w:color="000000" w:sz="4" w:space="0"/>
            </w:tcBorders>
            <w:shd w:val="clear" w:color="auto" w:fill="auto"/>
            <w:vAlign w:val="center"/>
          </w:tcPr>
          <w:p>
            <w:pPr>
              <w:widowControl/>
              <w:spacing w:line="240" w:lineRule="exact"/>
              <w:jc w:val="center"/>
              <w:rPr>
                <w:rFonts w:eastAsia="仿宋_GB2312"/>
                <w:color w:val="000000"/>
                <w:sz w:val="24"/>
              </w:rPr>
            </w:pPr>
            <w:r>
              <w:rPr>
                <w:rFonts w:hint="eastAsia" w:eastAsia="仿宋_GB2312"/>
                <w:color w:val="000000"/>
                <w:sz w:val="24"/>
              </w:rPr>
              <w:t>将有关信息录入双重预防机制数字化系统</w:t>
            </w:r>
          </w:p>
        </w:tc>
      </w:tr>
      <w:tr>
        <w:tblPrEx>
          <w:tblCellMar>
            <w:top w:w="0" w:type="dxa"/>
            <w:left w:w="108" w:type="dxa"/>
            <w:bottom w:w="0" w:type="dxa"/>
            <w:right w:w="108" w:type="dxa"/>
          </w:tblCellMar>
        </w:tblPrEx>
        <w:trPr>
          <w:trHeight w:val="1500" w:hRule="atLeast"/>
          <w:jc w:val="center"/>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rPr>
                <w:rFonts w:ascii="楷体" w:hAnsi="楷体" w:eastAsia="楷体" w:cs="楷体"/>
                <w:color w:val="000000"/>
                <w:sz w:val="24"/>
              </w:rPr>
            </w:pPr>
          </w:p>
        </w:tc>
        <w:tc>
          <w:tcPr>
            <w:tcW w:w="8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eastAsia="仿宋_GB2312"/>
                <w:color w:val="000000"/>
                <w:sz w:val="24"/>
              </w:rPr>
            </w:pPr>
            <w:r>
              <w:rPr>
                <w:rFonts w:eastAsia="仿宋_GB2312"/>
                <w:color w:val="000000"/>
                <w:kern w:val="0"/>
                <w:sz w:val="24"/>
                <w:lang w:bidi="ar"/>
              </w:rPr>
              <w:t>（</w:t>
            </w:r>
            <w:r>
              <w:rPr>
                <w:rFonts w:hint="eastAsia" w:eastAsia="仿宋_GB2312"/>
                <w:color w:val="000000"/>
                <w:kern w:val="0"/>
                <w:sz w:val="24"/>
                <w:lang w:bidi="ar"/>
              </w:rPr>
              <w:t>2</w:t>
            </w:r>
            <w:r>
              <w:rPr>
                <w:rFonts w:eastAsia="仿宋_GB2312"/>
                <w:color w:val="000000"/>
                <w:kern w:val="0"/>
                <w:sz w:val="24"/>
                <w:lang w:bidi="ar"/>
              </w:rPr>
              <w:t>）待省应急管理厅选取部分企业完成双重预防机制数字化系统应用升级试点后，组织相关企业推广实施双重预防机制数字化系统应用升级。</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color w:val="000000"/>
                <w:sz w:val="24"/>
              </w:rPr>
            </w:pPr>
            <w:r>
              <w:rPr>
                <w:rFonts w:eastAsia="仿宋_GB2312"/>
                <w:color w:val="000000"/>
                <w:kern w:val="0"/>
                <w:sz w:val="24"/>
                <w:lang w:bidi="ar"/>
              </w:rPr>
              <w:t>持续推进</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color w:val="000000"/>
                <w:sz w:val="24"/>
              </w:rPr>
            </w:pPr>
            <w:r>
              <w:rPr>
                <w:rFonts w:eastAsia="仿宋_GB2312"/>
                <w:color w:val="000000"/>
                <w:kern w:val="0"/>
                <w:sz w:val="24"/>
                <w:lang w:bidi="ar"/>
              </w:rPr>
              <w:t>对接落实</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color w:val="000000"/>
                <w:sz w:val="24"/>
              </w:rPr>
            </w:pPr>
            <w:r>
              <w:rPr>
                <w:rFonts w:eastAsia="仿宋_GB2312"/>
                <w:color w:val="000000"/>
                <w:kern w:val="0"/>
                <w:sz w:val="24"/>
                <w:lang w:bidi="ar"/>
              </w:rPr>
              <w:t>对接落实</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eastAsia="仿宋_GB2312"/>
                <w:color w:val="000000"/>
                <w:sz w:val="24"/>
              </w:rPr>
            </w:pPr>
          </w:p>
        </w:tc>
      </w:tr>
      <w:tr>
        <w:tblPrEx>
          <w:tblCellMar>
            <w:top w:w="0" w:type="dxa"/>
            <w:left w:w="108" w:type="dxa"/>
            <w:bottom w:w="0" w:type="dxa"/>
            <w:right w:w="108" w:type="dxa"/>
          </w:tblCellMar>
        </w:tblPrEx>
        <w:trPr>
          <w:trHeight w:val="1511" w:hRule="atLeast"/>
          <w:jc w:val="center"/>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rPr>
                <w:rFonts w:ascii="楷体" w:hAnsi="楷体" w:eastAsia="楷体" w:cs="楷体"/>
                <w:color w:val="000000"/>
                <w:sz w:val="24"/>
              </w:rPr>
            </w:pPr>
          </w:p>
        </w:tc>
        <w:tc>
          <w:tcPr>
            <w:tcW w:w="8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11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b/>
                <w:color w:val="000000"/>
                <w:sz w:val="24"/>
              </w:rPr>
            </w:pPr>
            <w:r>
              <w:rPr>
                <w:rFonts w:ascii="楷体" w:hAnsi="楷体" w:eastAsia="楷体" w:cs="楷体"/>
                <w:b/>
                <w:color w:val="000000"/>
                <w:kern w:val="0"/>
                <w:sz w:val="24"/>
                <w:lang w:bidi="ar"/>
              </w:rPr>
              <w:t>15.</w:t>
            </w:r>
            <w:r>
              <w:rPr>
                <w:rFonts w:hint="eastAsia" w:ascii="楷体" w:hAnsi="楷体" w:eastAsia="楷体" w:cs="楷体"/>
                <w:b/>
                <w:color w:val="000000"/>
                <w:kern w:val="0"/>
                <w:sz w:val="24"/>
                <w:lang w:bidi="ar"/>
              </w:rPr>
              <w:t>加强</w:t>
            </w:r>
            <w:r>
              <w:rPr>
                <w:rFonts w:ascii="楷体" w:hAnsi="楷体" w:eastAsia="楷体" w:cs="楷体"/>
                <w:b/>
                <w:color w:val="000000"/>
                <w:kern w:val="0"/>
                <w:sz w:val="24"/>
                <w:lang w:bidi="ar"/>
              </w:rPr>
              <w:t>“工业互联网+危化安全生产”</w:t>
            </w:r>
            <w:r>
              <w:rPr>
                <w:rFonts w:hint="eastAsia" w:ascii="楷体" w:hAnsi="楷体" w:eastAsia="楷体" w:cs="楷体"/>
                <w:b/>
                <w:color w:val="000000"/>
                <w:kern w:val="0"/>
                <w:sz w:val="24"/>
                <w:lang w:bidi="ar"/>
              </w:rPr>
              <w:t>试点</w:t>
            </w:r>
            <w:r>
              <w:rPr>
                <w:rFonts w:ascii="楷体" w:hAnsi="楷体" w:eastAsia="楷体" w:cs="楷体"/>
                <w:b/>
                <w:color w:val="000000"/>
                <w:kern w:val="0"/>
                <w:sz w:val="24"/>
                <w:lang w:bidi="ar"/>
              </w:rPr>
              <w:t>建设</w:t>
            </w: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eastAsia="仿宋_GB2312"/>
                <w:color w:val="000000"/>
                <w:sz w:val="24"/>
              </w:rPr>
            </w:pPr>
            <w:r>
              <w:rPr>
                <w:rFonts w:eastAsia="仿宋_GB2312"/>
                <w:color w:val="000000"/>
                <w:kern w:val="0"/>
                <w:sz w:val="24"/>
                <w:lang w:bidi="ar"/>
              </w:rPr>
              <w:t>（1）坚持鼓励创新、务实管用，支持鼓励企业积极推进设备完整性及预测性检维修、工艺生产报警优化管理、自动控制过程优化等场景应用试点建设。</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color w:val="000000"/>
                <w:sz w:val="24"/>
              </w:rPr>
            </w:pPr>
            <w:r>
              <w:rPr>
                <w:rFonts w:eastAsia="仿宋_GB2312"/>
                <w:color w:val="000000"/>
                <w:kern w:val="0"/>
                <w:sz w:val="24"/>
                <w:lang w:bidi="ar"/>
              </w:rPr>
              <w:t>持续开展</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color w:val="000000"/>
                <w:sz w:val="24"/>
              </w:rPr>
            </w:pPr>
            <w:r>
              <w:rPr>
                <w:rFonts w:eastAsia="仿宋_GB2312"/>
                <w:color w:val="000000"/>
                <w:kern w:val="0"/>
                <w:sz w:val="24"/>
                <w:lang w:bidi="ar"/>
              </w:rPr>
              <w:t>帮扶指导、支持鼓励</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color w:val="000000"/>
                <w:sz w:val="24"/>
              </w:rPr>
            </w:pPr>
            <w:r>
              <w:rPr>
                <w:rFonts w:eastAsia="仿宋_GB2312"/>
                <w:color w:val="000000"/>
                <w:kern w:val="0"/>
                <w:sz w:val="24"/>
                <w:lang w:bidi="ar"/>
              </w:rPr>
              <w:t>帮扶指导、支持鼓励</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eastAsia="仿宋_GB2312"/>
                <w:color w:val="000000"/>
                <w:sz w:val="24"/>
              </w:rPr>
            </w:pPr>
          </w:p>
        </w:tc>
      </w:tr>
      <w:tr>
        <w:tblPrEx>
          <w:tblCellMar>
            <w:top w:w="0" w:type="dxa"/>
            <w:left w:w="108" w:type="dxa"/>
            <w:bottom w:w="0" w:type="dxa"/>
            <w:right w:w="108" w:type="dxa"/>
          </w:tblCellMar>
        </w:tblPrEx>
        <w:trPr>
          <w:trHeight w:val="980" w:hRule="atLeast"/>
          <w:jc w:val="center"/>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rPr>
                <w:rFonts w:ascii="楷体" w:hAnsi="楷体" w:eastAsia="楷体" w:cs="楷体"/>
                <w:color w:val="000000"/>
                <w:sz w:val="24"/>
              </w:rPr>
            </w:pPr>
          </w:p>
        </w:tc>
        <w:tc>
          <w:tcPr>
            <w:tcW w:w="8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color w:val="000000"/>
                <w:sz w:val="24"/>
              </w:rPr>
            </w:pP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eastAsia="仿宋_GB2312"/>
                <w:color w:val="000000"/>
                <w:sz w:val="24"/>
              </w:rPr>
            </w:pPr>
            <w:r>
              <w:rPr>
                <w:rFonts w:eastAsia="仿宋_GB2312"/>
                <w:color w:val="000000"/>
                <w:kern w:val="0"/>
                <w:sz w:val="24"/>
                <w:lang w:bidi="ar"/>
              </w:rPr>
              <w:t>（2）鼓励中小油气储存企业建设安全风险智能化管控平台。</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color w:val="000000"/>
                <w:sz w:val="24"/>
              </w:rPr>
            </w:pPr>
            <w:r>
              <w:rPr>
                <w:rFonts w:eastAsia="仿宋_GB2312"/>
                <w:color w:val="000000"/>
                <w:kern w:val="0"/>
                <w:sz w:val="24"/>
                <w:lang w:bidi="ar"/>
              </w:rPr>
              <w:t>持续开展</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color w:val="000000"/>
                <w:sz w:val="24"/>
              </w:rPr>
            </w:pPr>
            <w:r>
              <w:rPr>
                <w:rFonts w:eastAsia="仿宋_GB2312"/>
                <w:color w:val="000000"/>
                <w:kern w:val="0"/>
                <w:sz w:val="24"/>
                <w:lang w:bidi="ar"/>
              </w:rPr>
              <w:t>帮扶指导、支持鼓励</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color w:val="000000"/>
                <w:sz w:val="24"/>
              </w:rPr>
            </w:pPr>
            <w:r>
              <w:rPr>
                <w:rFonts w:eastAsia="仿宋_GB2312"/>
                <w:color w:val="000000"/>
                <w:kern w:val="0"/>
                <w:sz w:val="24"/>
                <w:lang w:bidi="ar"/>
              </w:rPr>
              <w:t>帮扶指导、支持鼓励</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eastAsia="仿宋_GB2312"/>
                <w:color w:val="000000"/>
                <w:sz w:val="24"/>
              </w:rPr>
            </w:pPr>
          </w:p>
        </w:tc>
      </w:tr>
      <w:tr>
        <w:tblPrEx>
          <w:tblCellMar>
            <w:top w:w="0" w:type="dxa"/>
            <w:left w:w="108" w:type="dxa"/>
            <w:bottom w:w="0" w:type="dxa"/>
            <w:right w:w="108" w:type="dxa"/>
          </w:tblCellMar>
        </w:tblPrEx>
        <w:trPr>
          <w:trHeight w:val="2020" w:hRule="atLeast"/>
          <w:jc w:val="center"/>
        </w:trPr>
        <w:tc>
          <w:tcPr>
            <w:tcW w:w="559"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sz w:val="24"/>
              </w:rPr>
            </w:pPr>
            <w:r>
              <w:rPr>
                <w:rFonts w:hint="eastAsia" w:ascii="黑体" w:hAnsi="黑体" w:eastAsia="黑体" w:cs="黑体"/>
                <w:kern w:val="0"/>
                <w:sz w:val="24"/>
                <w:lang w:bidi="ar"/>
              </w:rPr>
              <w:t>四</w:t>
            </w:r>
          </w:p>
        </w:tc>
        <w:tc>
          <w:tcPr>
            <w:tcW w:w="848"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b/>
                <w:sz w:val="24"/>
              </w:rPr>
            </w:pPr>
            <w:r>
              <w:rPr>
                <w:rFonts w:ascii="楷体" w:hAnsi="楷体" w:eastAsia="楷体" w:cs="楷体"/>
                <w:b/>
                <w:kern w:val="0"/>
                <w:sz w:val="24"/>
                <w:lang w:bidi="ar"/>
              </w:rPr>
              <w:t>提升安全监管能力水平</w:t>
            </w:r>
          </w:p>
        </w:tc>
        <w:tc>
          <w:tcPr>
            <w:tcW w:w="11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b/>
                <w:sz w:val="24"/>
              </w:rPr>
            </w:pPr>
            <w:r>
              <w:rPr>
                <w:rFonts w:ascii="楷体" w:hAnsi="楷体" w:eastAsia="楷体" w:cs="楷体"/>
                <w:b/>
                <w:kern w:val="0"/>
                <w:sz w:val="24"/>
                <w:lang w:bidi="ar"/>
              </w:rPr>
              <w:t>16.做好建章立制和应用先进技术装备</w:t>
            </w: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eastAsia="仿宋_GB2312"/>
                <w:sz w:val="24"/>
              </w:rPr>
            </w:pPr>
            <w:r>
              <w:rPr>
                <w:rFonts w:eastAsia="仿宋_GB2312"/>
                <w:kern w:val="0"/>
                <w:sz w:val="24"/>
                <w:lang w:bidi="ar"/>
              </w:rPr>
              <w:t>（1）认真贯彻落实省应急管理厅即将出台的加强危险化学品建设项目安全监督管理文件要求，进一步规范和完善建设项目安全设施“三同时”和试生产安全监督管理。</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sz w:val="24"/>
              </w:rPr>
            </w:pPr>
            <w:r>
              <w:rPr>
                <w:rFonts w:hint="eastAsia" w:eastAsia="仿宋_GB2312"/>
                <w:kern w:val="0"/>
                <w:sz w:val="24"/>
                <w:lang w:bidi="ar"/>
              </w:rPr>
              <w:t>接文件后，认真执行</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sz w:val="24"/>
              </w:rPr>
            </w:pPr>
            <w:r>
              <w:rPr>
                <w:rFonts w:eastAsia="仿宋_GB2312"/>
                <w:kern w:val="0"/>
                <w:sz w:val="24"/>
                <w:lang w:bidi="ar"/>
              </w:rPr>
              <w:t>认真执行</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sz w:val="24"/>
              </w:rPr>
            </w:pPr>
            <w:r>
              <w:rPr>
                <w:rFonts w:eastAsia="仿宋_GB2312"/>
                <w:kern w:val="0"/>
                <w:sz w:val="24"/>
                <w:lang w:bidi="ar"/>
              </w:rPr>
              <w:t>认真执行</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eastAsia="仿宋_GB2312"/>
                <w:sz w:val="24"/>
              </w:rPr>
            </w:pPr>
          </w:p>
        </w:tc>
      </w:tr>
      <w:tr>
        <w:tblPrEx>
          <w:tblCellMar>
            <w:top w:w="0" w:type="dxa"/>
            <w:left w:w="108" w:type="dxa"/>
            <w:bottom w:w="0" w:type="dxa"/>
            <w:right w:w="108" w:type="dxa"/>
          </w:tblCellMar>
        </w:tblPrEx>
        <w:trPr>
          <w:trHeight w:val="1957" w:hRule="atLeast"/>
          <w:jc w:val="center"/>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rPr>
                <w:rFonts w:ascii="楷体" w:hAnsi="楷体" w:eastAsia="楷体" w:cs="楷体"/>
                <w:sz w:val="24"/>
              </w:rPr>
            </w:pPr>
          </w:p>
        </w:tc>
        <w:tc>
          <w:tcPr>
            <w:tcW w:w="8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rPr>
                <w:rFonts w:ascii="楷体" w:hAnsi="楷体" w:eastAsia="楷体" w:cs="楷体"/>
                <w:b/>
                <w:sz w:val="24"/>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sz w:val="24"/>
              </w:rPr>
            </w:pP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eastAsia="仿宋_GB2312"/>
                <w:sz w:val="24"/>
              </w:rPr>
            </w:pPr>
            <w:r>
              <w:rPr>
                <w:rFonts w:eastAsia="仿宋_GB2312"/>
                <w:kern w:val="0"/>
                <w:sz w:val="24"/>
                <w:lang w:bidi="ar"/>
              </w:rPr>
              <w:t>（2）认真贯彻落实即将出台的云南省《关于贯彻落实〈危险化学品生产建设项目安全风险防控指南（试行）〉的意见》，进一步加强生产建设项目安全风险防控工作。</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sz w:val="24"/>
              </w:rPr>
            </w:pPr>
            <w:r>
              <w:rPr>
                <w:rFonts w:hint="eastAsia" w:eastAsia="仿宋_GB2312"/>
                <w:kern w:val="0"/>
                <w:sz w:val="24"/>
                <w:lang w:bidi="ar"/>
              </w:rPr>
              <w:t>接文件后，认真执行</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sz w:val="24"/>
              </w:rPr>
            </w:pPr>
            <w:r>
              <w:rPr>
                <w:rFonts w:eastAsia="仿宋_GB2312"/>
                <w:kern w:val="0"/>
                <w:sz w:val="24"/>
                <w:lang w:bidi="ar"/>
              </w:rPr>
              <w:t>认真执行</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sz w:val="24"/>
              </w:rPr>
            </w:pPr>
            <w:r>
              <w:rPr>
                <w:rFonts w:eastAsia="仿宋_GB2312"/>
                <w:kern w:val="0"/>
                <w:sz w:val="24"/>
                <w:lang w:bidi="ar"/>
              </w:rPr>
              <w:t>认真执行</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eastAsia="仿宋_GB2312"/>
                <w:sz w:val="24"/>
              </w:rPr>
            </w:pPr>
          </w:p>
        </w:tc>
      </w:tr>
      <w:tr>
        <w:tblPrEx>
          <w:tblCellMar>
            <w:top w:w="0" w:type="dxa"/>
            <w:left w:w="108" w:type="dxa"/>
            <w:bottom w:w="0" w:type="dxa"/>
            <w:right w:w="108" w:type="dxa"/>
          </w:tblCellMar>
        </w:tblPrEx>
        <w:trPr>
          <w:trHeight w:val="1823" w:hRule="atLeast"/>
          <w:jc w:val="center"/>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rPr>
                <w:rFonts w:ascii="楷体" w:hAnsi="楷体" w:eastAsia="楷体" w:cs="楷体"/>
                <w:sz w:val="24"/>
              </w:rPr>
            </w:pPr>
          </w:p>
        </w:tc>
        <w:tc>
          <w:tcPr>
            <w:tcW w:w="8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rPr>
                <w:rFonts w:ascii="楷体" w:hAnsi="楷体" w:eastAsia="楷体" w:cs="楷体"/>
                <w:b/>
                <w:sz w:val="24"/>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sz w:val="24"/>
              </w:rPr>
            </w:pP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eastAsia="仿宋_GB2312"/>
                <w:sz w:val="24"/>
              </w:rPr>
            </w:pPr>
            <w:r>
              <w:rPr>
                <w:rFonts w:eastAsia="仿宋_GB2312"/>
                <w:kern w:val="0"/>
                <w:sz w:val="24"/>
                <w:lang w:bidi="ar"/>
              </w:rPr>
              <w:t>（3）深入贯彻《应急管理部关于印发危险化学品生产储存企业安全风险评估诊断分级指南（试行）的通知》（应急〔2018〕19号）</w:t>
            </w:r>
            <w:r>
              <w:rPr>
                <w:rFonts w:hint="eastAsia" w:eastAsia="仿宋_GB2312"/>
                <w:kern w:val="0"/>
                <w:sz w:val="24"/>
                <w:lang w:bidi="ar"/>
              </w:rPr>
              <w:t>及省厅相关部署</w:t>
            </w:r>
            <w:r>
              <w:rPr>
                <w:rFonts w:eastAsia="仿宋_GB2312"/>
                <w:kern w:val="0"/>
                <w:sz w:val="24"/>
                <w:lang w:bidi="ar"/>
              </w:rPr>
              <w:t>要求，深度精准开展企业安全风险评估诊断分级。</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sz w:val="24"/>
              </w:rPr>
            </w:pPr>
            <w:r>
              <w:rPr>
                <w:rFonts w:eastAsia="仿宋_GB2312"/>
                <w:kern w:val="0"/>
                <w:sz w:val="24"/>
                <w:lang w:bidi="ar"/>
              </w:rPr>
              <w:t>持续开展</w:t>
            </w:r>
          </w:p>
        </w:tc>
        <w:tc>
          <w:tcPr>
            <w:tcW w:w="1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eastAsia="仿宋_GB2312"/>
                <w:sz w:val="24"/>
              </w:rPr>
            </w:pPr>
            <w:r>
              <w:rPr>
                <w:rFonts w:eastAsia="仿宋_GB2312"/>
                <w:kern w:val="0"/>
                <w:sz w:val="24"/>
                <w:lang w:bidi="ar"/>
              </w:rPr>
              <w:t>认真执行</w:t>
            </w:r>
          </w:p>
        </w:tc>
        <w:tc>
          <w:tcPr>
            <w:tcW w:w="2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jc w:val="center"/>
              <w:textAlignment w:val="center"/>
              <w:rPr>
                <w:rFonts w:eastAsia="仿宋_GB2312"/>
                <w:sz w:val="24"/>
              </w:rPr>
            </w:pPr>
            <w:r>
              <w:rPr>
                <w:rFonts w:eastAsia="仿宋_GB2312"/>
                <w:kern w:val="0"/>
                <w:sz w:val="24"/>
                <w:lang w:bidi="ar"/>
              </w:rPr>
              <w:t>认真执行</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eastAsia="仿宋_GB2312"/>
                <w:sz w:val="24"/>
              </w:rPr>
            </w:pPr>
          </w:p>
        </w:tc>
      </w:tr>
      <w:tr>
        <w:tblPrEx>
          <w:tblCellMar>
            <w:top w:w="0" w:type="dxa"/>
            <w:left w:w="108" w:type="dxa"/>
            <w:bottom w:w="0" w:type="dxa"/>
            <w:right w:w="108" w:type="dxa"/>
          </w:tblCellMar>
        </w:tblPrEx>
        <w:trPr>
          <w:trHeight w:val="1338" w:hRule="atLeast"/>
          <w:jc w:val="center"/>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rPr>
                <w:rFonts w:ascii="楷体" w:hAnsi="楷体" w:eastAsia="楷体" w:cs="楷体"/>
                <w:sz w:val="24"/>
              </w:rPr>
            </w:pPr>
          </w:p>
        </w:tc>
        <w:tc>
          <w:tcPr>
            <w:tcW w:w="8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rPr>
                <w:rFonts w:ascii="楷体" w:hAnsi="楷体" w:eastAsia="楷体" w:cs="楷体"/>
                <w:b/>
                <w:sz w:val="24"/>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sz w:val="24"/>
              </w:rPr>
            </w:pP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eastAsia="仿宋_GB2312"/>
                <w:sz w:val="24"/>
              </w:rPr>
            </w:pPr>
            <w:r>
              <w:rPr>
                <w:rFonts w:eastAsia="仿宋_GB2312"/>
                <w:kern w:val="0"/>
                <w:sz w:val="24"/>
                <w:lang w:bidi="ar"/>
              </w:rPr>
              <w:t>（4）参照即将出台的省级危化专家库管理办法，修订完善州级危化专家库管理办法，调整优化州级危化专家名单。</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sz w:val="24"/>
              </w:rPr>
            </w:pPr>
            <w:r>
              <w:rPr>
                <w:rFonts w:eastAsia="仿宋_GB2312"/>
                <w:kern w:val="0"/>
                <w:sz w:val="24"/>
                <w:lang w:bidi="ar"/>
              </w:rPr>
              <w:t>6月底前</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sz w:val="24"/>
              </w:rPr>
            </w:pPr>
            <w:r>
              <w:rPr>
                <w:rFonts w:eastAsia="仿宋_GB2312"/>
                <w:kern w:val="0"/>
                <w:sz w:val="24"/>
                <w:lang w:bidi="ar"/>
              </w:rPr>
              <w:t>认真执行</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sz w:val="24"/>
              </w:rPr>
            </w:pPr>
            <w:r>
              <w:rPr>
                <w:rFonts w:eastAsia="仿宋_GB2312"/>
                <w:kern w:val="0"/>
                <w:sz w:val="24"/>
                <w:lang w:bidi="ar"/>
              </w:rPr>
              <w:t>认真执行</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eastAsia="仿宋_GB2312"/>
                <w:sz w:val="24"/>
              </w:rPr>
            </w:pPr>
          </w:p>
        </w:tc>
      </w:tr>
      <w:tr>
        <w:tblPrEx>
          <w:tblCellMar>
            <w:top w:w="0" w:type="dxa"/>
            <w:left w:w="108" w:type="dxa"/>
            <w:bottom w:w="0" w:type="dxa"/>
            <w:right w:w="108" w:type="dxa"/>
          </w:tblCellMar>
        </w:tblPrEx>
        <w:trPr>
          <w:trHeight w:val="947" w:hRule="atLeast"/>
          <w:jc w:val="center"/>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rPr>
                <w:rFonts w:ascii="楷体" w:hAnsi="楷体" w:eastAsia="楷体" w:cs="楷体"/>
                <w:sz w:val="24"/>
              </w:rPr>
            </w:pPr>
          </w:p>
        </w:tc>
        <w:tc>
          <w:tcPr>
            <w:tcW w:w="8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rPr>
                <w:rFonts w:ascii="楷体" w:hAnsi="楷体" w:eastAsia="楷体" w:cs="楷体"/>
                <w:b/>
                <w:sz w:val="24"/>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sz w:val="24"/>
              </w:rPr>
            </w:pP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eastAsia="仿宋_GB2312"/>
                <w:sz w:val="24"/>
              </w:rPr>
            </w:pPr>
            <w:r>
              <w:rPr>
                <w:rFonts w:eastAsia="仿宋_GB2312"/>
                <w:kern w:val="0"/>
                <w:sz w:val="24"/>
                <w:lang w:bidi="ar"/>
              </w:rPr>
              <w:t>（5）积极推广应用应急管理部认可的成熟可靠有效的安全科技成果。</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sz w:val="24"/>
              </w:rPr>
            </w:pPr>
            <w:r>
              <w:rPr>
                <w:rFonts w:eastAsia="仿宋_GB2312"/>
                <w:kern w:val="0"/>
                <w:sz w:val="24"/>
                <w:lang w:bidi="ar"/>
              </w:rPr>
              <w:t>持续开展</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sz w:val="24"/>
              </w:rPr>
            </w:pPr>
            <w:r>
              <w:rPr>
                <w:rFonts w:eastAsia="仿宋_GB2312"/>
                <w:kern w:val="0"/>
                <w:sz w:val="24"/>
                <w:lang w:bidi="ar"/>
              </w:rPr>
              <w:t>认真执行</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sz w:val="24"/>
              </w:rPr>
            </w:pPr>
            <w:r>
              <w:rPr>
                <w:rFonts w:eastAsia="仿宋_GB2312"/>
                <w:kern w:val="0"/>
                <w:sz w:val="24"/>
                <w:lang w:bidi="ar"/>
              </w:rPr>
              <w:t>认真执行</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eastAsia="仿宋_GB2312"/>
                <w:sz w:val="24"/>
              </w:rPr>
            </w:pPr>
          </w:p>
        </w:tc>
      </w:tr>
      <w:tr>
        <w:tblPrEx>
          <w:tblCellMar>
            <w:top w:w="0" w:type="dxa"/>
            <w:left w:w="108" w:type="dxa"/>
            <w:bottom w:w="0" w:type="dxa"/>
            <w:right w:w="108" w:type="dxa"/>
          </w:tblCellMar>
        </w:tblPrEx>
        <w:trPr>
          <w:trHeight w:val="2012" w:hRule="atLeast"/>
          <w:jc w:val="center"/>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rPr>
                <w:rFonts w:ascii="楷体" w:hAnsi="楷体" w:eastAsia="楷体" w:cs="楷体"/>
                <w:sz w:val="24"/>
              </w:rPr>
            </w:pPr>
          </w:p>
        </w:tc>
        <w:tc>
          <w:tcPr>
            <w:tcW w:w="8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rPr>
                <w:rFonts w:ascii="楷体" w:hAnsi="楷体" w:eastAsia="楷体" w:cs="楷体"/>
                <w:b/>
                <w:sz w:val="24"/>
              </w:rPr>
            </w:pPr>
          </w:p>
        </w:tc>
        <w:tc>
          <w:tcPr>
            <w:tcW w:w="11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b/>
                <w:sz w:val="24"/>
              </w:rPr>
            </w:pPr>
            <w:r>
              <w:rPr>
                <w:rFonts w:ascii="楷体" w:hAnsi="楷体" w:eastAsia="楷体" w:cs="楷体"/>
                <w:b/>
                <w:kern w:val="0"/>
                <w:sz w:val="24"/>
                <w:lang w:bidi="ar"/>
              </w:rPr>
              <w:t>17.强化安全监管执法推动责任落实</w:t>
            </w: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eastAsia="仿宋_GB2312"/>
                <w:sz w:val="24"/>
              </w:rPr>
            </w:pPr>
            <w:r>
              <w:rPr>
                <w:rFonts w:eastAsia="仿宋_GB2312"/>
                <w:kern w:val="0"/>
                <w:sz w:val="24"/>
                <w:lang w:bidi="ar"/>
              </w:rPr>
              <w:t>（1）贯彻执行应急管理部《2024年危险化学品企业安全生产执法检查重点事项指导目录》，聚焦重大安全风险隐患开展精准执法。</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sz w:val="24"/>
              </w:rPr>
            </w:pPr>
            <w:r>
              <w:rPr>
                <w:rFonts w:eastAsia="仿宋_GB2312"/>
                <w:kern w:val="0"/>
                <w:sz w:val="24"/>
                <w:lang w:bidi="ar"/>
              </w:rPr>
              <w:t>持续开展</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sz w:val="24"/>
              </w:rPr>
            </w:pPr>
            <w:r>
              <w:rPr>
                <w:rFonts w:hint="eastAsia" w:eastAsia="仿宋_GB2312"/>
                <w:sz w:val="24"/>
              </w:rPr>
              <w:t>跟踪督促、及时通报，执法检查、报送情况。</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sz w:val="24"/>
              </w:rPr>
            </w:pPr>
            <w:r>
              <w:rPr>
                <w:rFonts w:hint="eastAsia" w:eastAsia="仿宋_GB2312"/>
                <w:sz w:val="24"/>
              </w:rPr>
              <w:t>执法检查、报送情况</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eastAsia="仿宋_GB2312"/>
                <w:sz w:val="24"/>
              </w:rPr>
            </w:pPr>
          </w:p>
        </w:tc>
      </w:tr>
      <w:tr>
        <w:tblPrEx>
          <w:tblCellMar>
            <w:top w:w="0" w:type="dxa"/>
            <w:left w:w="108" w:type="dxa"/>
            <w:bottom w:w="0" w:type="dxa"/>
            <w:right w:w="108" w:type="dxa"/>
          </w:tblCellMar>
        </w:tblPrEx>
        <w:trPr>
          <w:trHeight w:val="2126" w:hRule="atLeast"/>
          <w:jc w:val="center"/>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rPr>
                <w:rFonts w:ascii="楷体" w:hAnsi="楷体" w:eastAsia="楷体" w:cs="楷体"/>
                <w:sz w:val="24"/>
              </w:rPr>
            </w:pPr>
          </w:p>
        </w:tc>
        <w:tc>
          <w:tcPr>
            <w:tcW w:w="8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rPr>
                <w:rFonts w:ascii="楷体" w:hAnsi="楷体" w:eastAsia="楷体" w:cs="楷体"/>
                <w:b/>
                <w:sz w:val="24"/>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sz w:val="24"/>
              </w:rPr>
            </w:pP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eastAsia="仿宋_GB2312"/>
                <w:sz w:val="24"/>
              </w:rPr>
            </w:pPr>
            <w:r>
              <w:rPr>
                <w:rFonts w:eastAsia="仿宋_GB2312"/>
                <w:kern w:val="0"/>
                <w:sz w:val="24"/>
                <w:lang w:bidi="ar"/>
              </w:rPr>
              <w:t>（2）组织开展“两重点一重大”危险化学品生产经营企业和烟花爆竹企业执法检查。加强执法情况调度和典型执法案例报送，对“零处罚”“只检查不处罚”、处罚条款落实不到位的，加大通报、督办、约谈、曝光力度，提升执法处罚率。</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sz w:val="24"/>
              </w:rPr>
            </w:pPr>
            <w:r>
              <w:rPr>
                <w:rFonts w:eastAsia="仿宋_GB2312"/>
                <w:kern w:val="0"/>
                <w:sz w:val="24"/>
                <w:lang w:bidi="ar"/>
              </w:rPr>
              <w:t>持续推进</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sz w:val="24"/>
              </w:rPr>
            </w:pPr>
            <w:r>
              <w:rPr>
                <w:rFonts w:eastAsia="仿宋_GB2312"/>
                <w:sz w:val="24"/>
              </w:rPr>
              <w:t>跟踪督促、及时通报，执法检查、报送情况。</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sz w:val="24"/>
              </w:rPr>
            </w:pPr>
            <w:r>
              <w:rPr>
                <w:rFonts w:eastAsia="仿宋_GB2312"/>
                <w:kern w:val="0"/>
                <w:sz w:val="24"/>
                <w:lang w:bidi="ar"/>
              </w:rPr>
              <w:t>执法检查、报送情况</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eastAsia="仿宋_GB2312"/>
                <w:sz w:val="24"/>
              </w:rPr>
            </w:pPr>
          </w:p>
        </w:tc>
      </w:tr>
      <w:tr>
        <w:tblPrEx>
          <w:tblCellMar>
            <w:top w:w="0" w:type="dxa"/>
            <w:left w:w="108" w:type="dxa"/>
            <w:bottom w:w="0" w:type="dxa"/>
            <w:right w:w="108" w:type="dxa"/>
          </w:tblCellMar>
        </w:tblPrEx>
        <w:trPr>
          <w:trHeight w:val="6228" w:hRule="atLeast"/>
          <w:jc w:val="center"/>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rPr>
                <w:rFonts w:ascii="楷体" w:hAnsi="楷体" w:eastAsia="楷体" w:cs="楷体"/>
                <w:sz w:val="24"/>
              </w:rPr>
            </w:pPr>
          </w:p>
        </w:tc>
        <w:tc>
          <w:tcPr>
            <w:tcW w:w="8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rPr>
                <w:rFonts w:ascii="楷体" w:hAnsi="楷体" w:eastAsia="楷体" w:cs="楷体"/>
                <w:b/>
                <w:sz w:val="24"/>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sz w:val="24"/>
              </w:rPr>
            </w:pP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eastAsia="仿宋_GB2312"/>
                <w:sz w:val="24"/>
              </w:rPr>
            </w:pPr>
            <w:r>
              <w:rPr>
                <w:rFonts w:eastAsia="仿宋_GB2312"/>
                <w:kern w:val="0"/>
                <w:sz w:val="24"/>
                <w:lang w:bidi="ar"/>
              </w:rPr>
              <w:t>（3）持续开展化学品登记和鉴定分类专项执法检查，扎实做好化学品普查和物理危险性重新辨识，健全完善登记现场检查，深入推进危险化学品登记系统推广应用，强化登记基础支撑保障作用。</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eastAsia="仿宋_GB2312"/>
                <w:sz w:val="24"/>
              </w:rPr>
            </w:pPr>
            <w:r>
              <w:rPr>
                <w:rFonts w:eastAsia="仿宋_GB2312"/>
                <w:kern w:val="0"/>
                <w:sz w:val="24"/>
                <w:lang w:bidi="ar"/>
              </w:rPr>
              <w:t>列入执法对象的企业3月底前完成自查；应急部门8月底前完成检查执法</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eastAsia="仿宋_GB2312"/>
                <w:kern w:val="0"/>
                <w:sz w:val="24"/>
                <w:lang w:bidi="ar"/>
              </w:rPr>
            </w:pPr>
            <w:r>
              <w:rPr>
                <w:rFonts w:hint="eastAsia" w:eastAsia="仿宋_GB2312"/>
                <w:kern w:val="0"/>
                <w:sz w:val="24"/>
                <w:lang w:bidi="ar"/>
              </w:rPr>
              <w:t>1</w:t>
            </w:r>
            <w:r>
              <w:rPr>
                <w:rFonts w:eastAsia="仿宋_GB2312"/>
                <w:kern w:val="0"/>
                <w:sz w:val="24"/>
                <w:lang w:bidi="ar"/>
              </w:rPr>
              <w:t>按时完成专项执法检查任务，及时将检查执法及问题线索追溯核查情况录入登记系统。</w:t>
            </w:r>
          </w:p>
          <w:p>
            <w:pPr>
              <w:widowControl/>
              <w:spacing w:line="240" w:lineRule="exact"/>
              <w:textAlignment w:val="center"/>
              <w:rPr>
                <w:rFonts w:eastAsia="仿宋_GB2312"/>
                <w:kern w:val="0"/>
                <w:sz w:val="24"/>
                <w:lang w:bidi="ar"/>
              </w:rPr>
            </w:pPr>
            <w:r>
              <w:rPr>
                <w:rFonts w:hint="eastAsia" w:eastAsia="仿宋_GB2312"/>
                <w:kern w:val="0"/>
                <w:sz w:val="24"/>
                <w:lang w:bidi="ar"/>
              </w:rPr>
              <w:t>2.</w:t>
            </w:r>
            <w:r>
              <w:rPr>
                <w:rFonts w:eastAsia="仿宋_GB2312"/>
                <w:kern w:val="0"/>
                <w:sz w:val="24"/>
                <w:lang w:bidi="ar"/>
              </w:rPr>
              <w:t>督促做好2023年登记专项执法检查“回头看”发现问题的整改。</w:t>
            </w:r>
          </w:p>
          <w:p>
            <w:pPr>
              <w:widowControl/>
              <w:spacing w:line="240" w:lineRule="exact"/>
              <w:textAlignment w:val="center"/>
              <w:rPr>
                <w:rFonts w:eastAsia="仿宋_GB2312"/>
                <w:kern w:val="0"/>
                <w:sz w:val="24"/>
                <w:lang w:bidi="ar"/>
              </w:rPr>
            </w:pPr>
            <w:r>
              <w:rPr>
                <w:rFonts w:hint="eastAsia" w:eastAsia="仿宋_GB2312"/>
                <w:kern w:val="0"/>
                <w:sz w:val="24"/>
                <w:lang w:bidi="ar"/>
              </w:rPr>
              <w:t>3.</w:t>
            </w:r>
            <w:r>
              <w:rPr>
                <w:rFonts w:eastAsia="仿宋_GB2312"/>
                <w:kern w:val="0"/>
                <w:sz w:val="24"/>
                <w:lang w:bidi="ar"/>
              </w:rPr>
              <w:t>对</w:t>
            </w:r>
            <w:r>
              <w:rPr>
                <w:rFonts w:hint="eastAsia" w:eastAsia="仿宋_GB2312"/>
                <w:kern w:val="0"/>
                <w:sz w:val="24"/>
                <w:lang w:bidi="ar"/>
              </w:rPr>
              <w:t>乡镇人民政府</w:t>
            </w:r>
            <w:r>
              <w:rPr>
                <w:rFonts w:eastAsia="仿宋_GB2312"/>
                <w:kern w:val="0"/>
                <w:sz w:val="24"/>
                <w:lang w:bidi="ar"/>
              </w:rPr>
              <w:t>检查、问题线索追溯核查未发现问题的企业开展复查，对查实违法行为的依法严格执法。</w:t>
            </w:r>
          </w:p>
          <w:p>
            <w:pPr>
              <w:widowControl/>
              <w:spacing w:line="240" w:lineRule="exact"/>
              <w:textAlignment w:val="center"/>
              <w:rPr>
                <w:rFonts w:eastAsia="仿宋_GB2312"/>
                <w:sz w:val="24"/>
              </w:rPr>
            </w:pPr>
            <w:r>
              <w:rPr>
                <w:rFonts w:eastAsia="仿宋_GB2312"/>
                <w:kern w:val="0"/>
                <w:sz w:val="24"/>
                <w:lang w:bidi="ar"/>
              </w:rPr>
              <w:t>4.梳理本</w:t>
            </w:r>
            <w:r>
              <w:rPr>
                <w:rFonts w:hint="eastAsia" w:eastAsia="仿宋_GB2312"/>
                <w:kern w:val="0"/>
                <w:sz w:val="24"/>
                <w:lang w:bidi="ar"/>
              </w:rPr>
              <w:t>县</w:t>
            </w:r>
            <w:r>
              <w:rPr>
                <w:rFonts w:eastAsia="仿宋_GB2312"/>
                <w:kern w:val="0"/>
                <w:sz w:val="24"/>
                <w:lang w:bidi="ar"/>
              </w:rPr>
              <w:t>执法检查工作落实情况，以及对违法行为追根溯源、依法查处的典型案例，汇总报</w:t>
            </w:r>
            <w:r>
              <w:rPr>
                <w:rFonts w:hint="eastAsia" w:eastAsia="仿宋_GB2312"/>
                <w:kern w:val="0"/>
                <w:sz w:val="24"/>
                <w:lang w:bidi="ar"/>
              </w:rPr>
              <w:t>州</w:t>
            </w:r>
            <w:r>
              <w:rPr>
                <w:rFonts w:eastAsia="仿宋_GB2312"/>
                <w:kern w:val="0"/>
                <w:sz w:val="24"/>
                <w:lang w:bidi="ar"/>
              </w:rPr>
              <w:t>应急管理</w:t>
            </w:r>
            <w:r>
              <w:rPr>
                <w:rFonts w:hint="eastAsia" w:eastAsia="仿宋_GB2312"/>
                <w:kern w:val="0"/>
                <w:sz w:val="24"/>
                <w:lang w:bidi="ar"/>
              </w:rPr>
              <w:t>局</w:t>
            </w:r>
            <w:r>
              <w:rPr>
                <w:rFonts w:eastAsia="仿宋_GB2312"/>
                <w:kern w:val="0"/>
                <w:sz w:val="24"/>
                <w:lang w:bidi="ar"/>
              </w:rPr>
              <w:t>。</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eastAsia="仿宋_GB2312"/>
                <w:kern w:val="0"/>
                <w:sz w:val="24"/>
                <w:lang w:bidi="ar"/>
              </w:rPr>
            </w:pPr>
            <w:r>
              <w:rPr>
                <w:rFonts w:eastAsia="仿宋_GB2312"/>
                <w:kern w:val="0"/>
                <w:sz w:val="24"/>
                <w:lang w:bidi="ar"/>
              </w:rPr>
              <w:t>1.督促列入本次专项执法检查对象的企业对照检查内容开展自查并整改</w:t>
            </w:r>
            <w:r>
              <w:rPr>
                <w:rFonts w:hint="eastAsia" w:eastAsia="仿宋_GB2312"/>
                <w:kern w:val="0"/>
                <w:sz w:val="24"/>
                <w:lang w:bidi="ar"/>
              </w:rPr>
              <w:t>，</w:t>
            </w:r>
            <w:r>
              <w:rPr>
                <w:rFonts w:eastAsia="仿宋_GB2312"/>
                <w:kern w:val="0"/>
                <w:sz w:val="24"/>
                <w:lang w:bidi="ar"/>
              </w:rPr>
              <w:t>自查发现的问题，3月底前将自查和整改相关情况录入登记系统。</w:t>
            </w:r>
          </w:p>
          <w:p>
            <w:pPr>
              <w:widowControl/>
              <w:spacing w:line="240" w:lineRule="exact"/>
              <w:textAlignment w:val="center"/>
              <w:rPr>
                <w:rFonts w:eastAsia="仿宋_GB2312"/>
                <w:kern w:val="0"/>
                <w:sz w:val="24"/>
                <w:lang w:bidi="ar"/>
              </w:rPr>
            </w:pPr>
            <w:r>
              <w:rPr>
                <w:rFonts w:eastAsia="仿宋_GB2312"/>
                <w:kern w:val="0"/>
                <w:sz w:val="24"/>
                <w:lang w:bidi="ar"/>
              </w:rPr>
              <w:t>2.6月底前对列入本次专项执法检查对象的企业，按照检查内容开展检查并落实执法。</w:t>
            </w:r>
          </w:p>
          <w:p>
            <w:pPr>
              <w:widowControl/>
              <w:spacing w:line="240" w:lineRule="exact"/>
              <w:textAlignment w:val="center"/>
              <w:rPr>
                <w:rFonts w:eastAsia="仿宋_GB2312"/>
                <w:kern w:val="0"/>
                <w:sz w:val="24"/>
                <w:lang w:bidi="ar"/>
              </w:rPr>
            </w:pPr>
            <w:r>
              <w:rPr>
                <w:rFonts w:hint="eastAsia" w:eastAsia="仿宋_GB2312"/>
                <w:kern w:val="0"/>
                <w:sz w:val="24"/>
                <w:lang w:bidi="ar"/>
              </w:rPr>
              <w:t>3.</w:t>
            </w:r>
            <w:r>
              <w:rPr>
                <w:rFonts w:eastAsia="仿宋_GB2312"/>
                <w:kern w:val="0"/>
                <w:sz w:val="24"/>
                <w:lang w:bidi="ar"/>
              </w:rPr>
              <w:t>对登记系统推送的问题线索及时进行追溯核查、执法。</w:t>
            </w:r>
          </w:p>
          <w:p>
            <w:pPr>
              <w:widowControl/>
              <w:spacing w:line="240" w:lineRule="exact"/>
              <w:textAlignment w:val="center"/>
              <w:rPr>
                <w:rFonts w:eastAsia="仿宋_GB2312"/>
                <w:sz w:val="24"/>
              </w:rPr>
            </w:pPr>
            <w:r>
              <w:rPr>
                <w:rFonts w:eastAsia="仿宋_GB2312"/>
                <w:kern w:val="0"/>
                <w:sz w:val="24"/>
                <w:lang w:bidi="ar"/>
              </w:rPr>
              <w:t>4.7月底前将检查执法及问题线索追溯核查情况录入登记系统。</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eastAsia="仿宋_GB2312"/>
                <w:sz w:val="24"/>
              </w:rPr>
            </w:pPr>
          </w:p>
        </w:tc>
      </w:tr>
      <w:tr>
        <w:tblPrEx>
          <w:tblCellMar>
            <w:top w:w="0" w:type="dxa"/>
            <w:left w:w="108" w:type="dxa"/>
            <w:bottom w:w="0" w:type="dxa"/>
            <w:right w:w="108" w:type="dxa"/>
          </w:tblCellMar>
        </w:tblPrEx>
        <w:trPr>
          <w:trHeight w:val="4612" w:hRule="atLeast"/>
          <w:jc w:val="center"/>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rPr>
                <w:rFonts w:ascii="楷体" w:hAnsi="楷体" w:eastAsia="楷体" w:cs="楷体"/>
                <w:sz w:val="24"/>
              </w:rPr>
            </w:pPr>
          </w:p>
        </w:tc>
        <w:tc>
          <w:tcPr>
            <w:tcW w:w="8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rPr>
                <w:rFonts w:ascii="楷体" w:hAnsi="楷体" w:eastAsia="楷体" w:cs="楷体"/>
                <w:b/>
                <w:sz w:val="24"/>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sz w:val="24"/>
              </w:rPr>
            </w:pP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eastAsia="仿宋_GB2312"/>
                <w:kern w:val="0"/>
                <w:sz w:val="24"/>
                <w:lang w:bidi="ar"/>
              </w:rPr>
            </w:pPr>
            <w:r>
              <w:rPr>
                <w:rFonts w:eastAsia="仿宋_GB2312"/>
                <w:color w:val="000000"/>
                <w:kern w:val="0"/>
                <w:sz w:val="24"/>
                <w:lang w:bidi="ar"/>
              </w:rPr>
              <w:t>（</w:t>
            </w:r>
            <w:r>
              <w:rPr>
                <w:rFonts w:hint="eastAsia" w:eastAsia="仿宋_GB2312"/>
                <w:color w:val="000000"/>
                <w:kern w:val="0"/>
                <w:sz w:val="24"/>
                <w:lang w:bidi="ar"/>
              </w:rPr>
              <w:t>4</w:t>
            </w:r>
            <w:r>
              <w:rPr>
                <w:rFonts w:eastAsia="仿宋_GB2312"/>
                <w:color w:val="000000"/>
                <w:kern w:val="0"/>
                <w:sz w:val="24"/>
                <w:lang w:bidi="ar"/>
              </w:rPr>
              <w:t>）扎实做好化学品普查和物理危险性重新辨识。</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kern w:val="0"/>
                <w:sz w:val="24"/>
                <w:lang w:bidi="ar"/>
              </w:rPr>
            </w:pPr>
            <w:r>
              <w:rPr>
                <w:rFonts w:eastAsia="仿宋_GB2312"/>
                <w:color w:val="000000"/>
                <w:kern w:val="0"/>
                <w:sz w:val="24"/>
                <w:lang w:bidi="ar"/>
              </w:rPr>
              <w:t>9月底前</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eastAsia="仿宋_GB2312"/>
                <w:color w:val="000000"/>
                <w:kern w:val="0"/>
                <w:sz w:val="24"/>
                <w:lang w:bidi="ar"/>
              </w:rPr>
            </w:pPr>
            <w:r>
              <w:rPr>
                <w:rFonts w:hint="eastAsia" w:eastAsia="仿宋_GB2312"/>
                <w:color w:val="000000"/>
                <w:kern w:val="0"/>
                <w:sz w:val="24"/>
                <w:lang w:bidi="ar"/>
              </w:rPr>
              <w:t>1.</w:t>
            </w:r>
            <w:r>
              <w:rPr>
                <w:rFonts w:eastAsia="仿宋_GB2312"/>
                <w:color w:val="000000"/>
                <w:kern w:val="0"/>
                <w:sz w:val="24"/>
                <w:lang w:bidi="ar"/>
              </w:rPr>
              <w:t>按照工作要求和时间节点完成普查、核查工作任务。</w:t>
            </w:r>
          </w:p>
          <w:p>
            <w:pPr>
              <w:widowControl/>
              <w:spacing w:line="240" w:lineRule="exact"/>
              <w:jc w:val="left"/>
              <w:textAlignment w:val="center"/>
              <w:rPr>
                <w:rFonts w:eastAsia="仿宋_GB2312"/>
                <w:color w:val="000000"/>
                <w:kern w:val="0"/>
                <w:sz w:val="24"/>
                <w:lang w:bidi="ar"/>
              </w:rPr>
            </w:pPr>
            <w:r>
              <w:rPr>
                <w:rFonts w:eastAsia="仿宋_GB2312"/>
                <w:color w:val="000000"/>
                <w:kern w:val="0"/>
                <w:sz w:val="24"/>
                <w:lang w:bidi="ar"/>
              </w:rPr>
              <w:t>2.梳理本</w:t>
            </w:r>
            <w:r>
              <w:rPr>
                <w:rFonts w:hint="eastAsia" w:eastAsia="仿宋_GB2312"/>
                <w:color w:val="000000"/>
                <w:kern w:val="0"/>
                <w:sz w:val="24"/>
                <w:lang w:bidi="ar"/>
              </w:rPr>
              <w:t>县</w:t>
            </w:r>
            <w:r>
              <w:rPr>
                <w:rFonts w:eastAsia="仿宋_GB2312"/>
                <w:color w:val="000000"/>
                <w:kern w:val="0"/>
                <w:sz w:val="24"/>
                <w:lang w:bidi="ar"/>
              </w:rPr>
              <w:t>各</w:t>
            </w:r>
            <w:r>
              <w:rPr>
                <w:rFonts w:hint="eastAsia" w:eastAsia="仿宋_GB2312"/>
                <w:color w:val="000000"/>
                <w:kern w:val="0"/>
                <w:sz w:val="24"/>
                <w:lang w:bidi="ar"/>
              </w:rPr>
              <w:t>乡</w:t>
            </w:r>
            <w:r>
              <w:rPr>
                <w:rFonts w:eastAsia="仿宋_GB2312"/>
                <w:color w:val="000000"/>
                <w:kern w:val="0"/>
                <w:sz w:val="24"/>
                <w:lang w:bidi="ar"/>
              </w:rPr>
              <w:t>（</w:t>
            </w:r>
            <w:r>
              <w:rPr>
                <w:rFonts w:hint="eastAsia" w:eastAsia="仿宋_GB2312"/>
                <w:color w:val="000000"/>
                <w:kern w:val="0"/>
                <w:sz w:val="24"/>
                <w:lang w:bidi="ar"/>
              </w:rPr>
              <w:t>镇</w:t>
            </w:r>
            <w:r>
              <w:rPr>
                <w:rFonts w:eastAsia="仿宋_GB2312"/>
                <w:color w:val="000000"/>
                <w:kern w:val="0"/>
                <w:sz w:val="24"/>
                <w:lang w:bidi="ar"/>
              </w:rPr>
              <w:t>）上报的普查表，汇总报</w:t>
            </w:r>
            <w:r>
              <w:rPr>
                <w:rFonts w:hint="eastAsia" w:eastAsia="仿宋_GB2312"/>
                <w:color w:val="000000"/>
                <w:kern w:val="0"/>
                <w:sz w:val="24"/>
                <w:lang w:bidi="ar"/>
              </w:rPr>
              <w:t>州</w:t>
            </w:r>
            <w:r>
              <w:rPr>
                <w:rFonts w:eastAsia="仿宋_GB2312"/>
                <w:color w:val="000000"/>
                <w:kern w:val="0"/>
                <w:sz w:val="24"/>
                <w:lang w:bidi="ar"/>
              </w:rPr>
              <w:t>应急管理</w:t>
            </w:r>
            <w:r>
              <w:rPr>
                <w:rFonts w:hint="eastAsia" w:eastAsia="仿宋_GB2312"/>
                <w:color w:val="000000"/>
                <w:kern w:val="0"/>
                <w:sz w:val="24"/>
                <w:lang w:bidi="ar"/>
              </w:rPr>
              <w:t>局</w:t>
            </w:r>
            <w:r>
              <w:rPr>
                <w:rFonts w:eastAsia="仿宋_GB2312"/>
                <w:color w:val="000000"/>
                <w:kern w:val="0"/>
                <w:sz w:val="24"/>
                <w:lang w:bidi="ar"/>
              </w:rPr>
              <w:t>。</w:t>
            </w:r>
          </w:p>
          <w:p>
            <w:pPr>
              <w:widowControl/>
              <w:spacing w:line="240" w:lineRule="exact"/>
              <w:jc w:val="left"/>
              <w:textAlignment w:val="center"/>
              <w:rPr>
                <w:rFonts w:eastAsia="仿宋_GB2312"/>
                <w:kern w:val="0"/>
                <w:sz w:val="24"/>
                <w:lang w:bidi="ar"/>
              </w:rPr>
            </w:pPr>
            <w:r>
              <w:rPr>
                <w:rFonts w:eastAsia="仿宋_GB2312"/>
                <w:color w:val="000000"/>
                <w:kern w:val="0"/>
                <w:sz w:val="24"/>
                <w:lang w:bidi="ar"/>
              </w:rPr>
              <w:t>3.根据省危险化学品登记中心反馈的须进行鉴定分类的化学品清单，跟踪督促企业联系鉴定机构及时进行鉴定。</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eastAsia="仿宋_GB2312"/>
                <w:color w:val="000000"/>
                <w:kern w:val="0"/>
                <w:sz w:val="24"/>
                <w:lang w:bidi="ar"/>
              </w:rPr>
            </w:pPr>
            <w:r>
              <w:rPr>
                <w:rFonts w:eastAsia="仿宋_GB2312"/>
                <w:color w:val="000000"/>
                <w:kern w:val="0"/>
                <w:sz w:val="24"/>
                <w:lang w:bidi="ar"/>
              </w:rPr>
              <w:t>1.督促危险化学品生产企业开展化学品普查，摸清楚是否存在危险特性尚未确定的化学品。7月底前建立化学品、危险化学品“两张清单”。</w:t>
            </w:r>
          </w:p>
          <w:p>
            <w:pPr>
              <w:widowControl/>
              <w:spacing w:line="240" w:lineRule="exact"/>
              <w:jc w:val="left"/>
              <w:textAlignment w:val="center"/>
              <w:rPr>
                <w:rFonts w:eastAsia="仿宋_GB2312"/>
                <w:color w:val="000000"/>
                <w:kern w:val="0"/>
                <w:sz w:val="24"/>
                <w:lang w:bidi="ar"/>
              </w:rPr>
            </w:pPr>
            <w:r>
              <w:rPr>
                <w:rFonts w:eastAsia="仿宋_GB2312"/>
                <w:color w:val="000000"/>
                <w:kern w:val="0"/>
                <w:sz w:val="24"/>
                <w:lang w:bidi="ar"/>
              </w:rPr>
              <w:t>2.8月底前结合危险化学品登记和化学品鉴定分类专项执法检查，核查企业是否存在漏登、误登的问题，督促企业限期整改。</w:t>
            </w:r>
          </w:p>
          <w:p>
            <w:pPr>
              <w:widowControl/>
              <w:spacing w:line="240" w:lineRule="exact"/>
              <w:jc w:val="left"/>
              <w:textAlignment w:val="center"/>
              <w:rPr>
                <w:rFonts w:eastAsia="仿宋_GB2312"/>
                <w:kern w:val="0"/>
                <w:sz w:val="24"/>
                <w:lang w:bidi="ar"/>
              </w:rPr>
            </w:pPr>
            <w:r>
              <w:rPr>
                <w:rFonts w:eastAsia="仿宋_GB2312"/>
                <w:color w:val="000000"/>
                <w:kern w:val="0"/>
                <w:sz w:val="24"/>
                <w:lang w:bidi="ar"/>
              </w:rPr>
              <w:t>3.筛选企业“两张清单”中危险特性尚未确定的化学品，填写普查表，报</w:t>
            </w:r>
            <w:r>
              <w:rPr>
                <w:rFonts w:hint="eastAsia" w:eastAsia="仿宋_GB2312"/>
                <w:color w:val="000000"/>
                <w:kern w:val="0"/>
                <w:sz w:val="24"/>
                <w:lang w:bidi="ar"/>
              </w:rPr>
              <w:t>县</w:t>
            </w:r>
            <w:r>
              <w:rPr>
                <w:rFonts w:eastAsia="仿宋_GB2312"/>
                <w:color w:val="000000"/>
                <w:kern w:val="0"/>
                <w:sz w:val="24"/>
                <w:lang w:bidi="ar"/>
              </w:rPr>
              <w:t>应急管理局。</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eastAsia="仿宋_GB2312"/>
                <w:sz w:val="24"/>
              </w:rPr>
            </w:pPr>
          </w:p>
        </w:tc>
      </w:tr>
      <w:tr>
        <w:tblPrEx>
          <w:tblCellMar>
            <w:top w:w="0" w:type="dxa"/>
            <w:left w:w="108" w:type="dxa"/>
            <w:bottom w:w="0" w:type="dxa"/>
            <w:right w:w="108" w:type="dxa"/>
          </w:tblCellMar>
        </w:tblPrEx>
        <w:trPr>
          <w:trHeight w:val="2025" w:hRule="atLeast"/>
          <w:jc w:val="center"/>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rPr>
                <w:rFonts w:ascii="楷体" w:hAnsi="楷体" w:eastAsia="楷体" w:cs="楷体"/>
                <w:sz w:val="24"/>
              </w:rPr>
            </w:pPr>
          </w:p>
        </w:tc>
        <w:tc>
          <w:tcPr>
            <w:tcW w:w="8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rPr>
                <w:rFonts w:ascii="楷体" w:hAnsi="楷体" w:eastAsia="楷体" w:cs="楷体"/>
                <w:b/>
                <w:sz w:val="24"/>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sz w:val="24"/>
              </w:rPr>
            </w:pP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eastAsia="仿宋_GB2312"/>
                <w:kern w:val="0"/>
                <w:sz w:val="24"/>
                <w:lang w:bidi="ar"/>
              </w:rPr>
            </w:pPr>
            <w:r>
              <w:rPr>
                <w:rFonts w:eastAsia="仿宋_GB2312"/>
                <w:color w:val="000000"/>
                <w:kern w:val="0"/>
                <w:sz w:val="24"/>
                <w:lang w:bidi="ar"/>
              </w:rPr>
              <w:t>（5）健全完善登记现场核查。</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kern w:val="0"/>
                <w:sz w:val="24"/>
                <w:lang w:bidi="ar"/>
              </w:rPr>
            </w:pPr>
            <w:r>
              <w:rPr>
                <w:rFonts w:eastAsia="仿宋_GB2312"/>
                <w:color w:val="000000"/>
                <w:kern w:val="0"/>
                <w:sz w:val="24"/>
                <w:lang w:bidi="ar"/>
              </w:rPr>
              <w:t>持续推进</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eastAsia="仿宋_GB2312"/>
                <w:kern w:val="0"/>
                <w:sz w:val="24"/>
                <w:lang w:bidi="ar"/>
              </w:rPr>
            </w:pPr>
            <w:r>
              <w:rPr>
                <w:rFonts w:eastAsia="仿宋_GB2312"/>
                <w:color w:val="000000"/>
                <w:kern w:val="0"/>
                <w:sz w:val="24"/>
                <w:lang w:bidi="ar"/>
              </w:rPr>
              <w:t>汇总企业问题整改情况报</w:t>
            </w:r>
            <w:r>
              <w:rPr>
                <w:rFonts w:hint="eastAsia" w:eastAsia="仿宋_GB2312"/>
                <w:color w:val="000000"/>
                <w:kern w:val="0"/>
                <w:sz w:val="24"/>
                <w:lang w:bidi="ar"/>
              </w:rPr>
              <w:t>州</w:t>
            </w:r>
            <w:r>
              <w:rPr>
                <w:rFonts w:eastAsia="仿宋_GB2312"/>
                <w:color w:val="000000"/>
                <w:kern w:val="0"/>
                <w:sz w:val="24"/>
                <w:lang w:bidi="ar"/>
              </w:rPr>
              <w:t>应急管理</w:t>
            </w:r>
            <w:r>
              <w:rPr>
                <w:rFonts w:hint="eastAsia" w:eastAsia="仿宋_GB2312"/>
                <w:color w:val="000000"/>
                <w:kern w:val="0"/>
                <w:sz w:val="24"/>
                <w:lang w:bidi="ar"/>
              </w:rPr>
              <w:t>局</w:t>
            </w:r>
            <w:r>
              <w:rPr>
                <w:rFonts w:eastAsia="仿宋_GB2312"/>
                <w:color w:val="000000"/>
                <w:kern w:val="0"/>
                <w:sz w:val="24"/>
                <w:lang w:bidi="ar"/>
              </w:rPr>
              <w:t>，督促</w:t>
            </w:r>
            <w:r>
              <w:rPr>
                <w:rFonts w:hint="eastAsia" w:eastAsia="仿宋_GB2312"/>
                <w:color w:val="000000"/>
                <w:kern w:val="0"/>
                <w:sz w:val="24"/>
                <w:lang w:bidi="ar"/>
              </w:rPr>
              <w:t>乡镇</w:t>
            </w:r>
            <w:r>
              <w:rPr>
                <w:rFonts w:eastAsia="仿宋_GB2312"/>
                <w:color w:val="000000"/>
                <w:kern w:val="0"/>
                <w:sz w:val="24"/>
                <w:lang w:bidi="ar"/>
              </w:rPr>
              <w:t>依法严格落实执法。</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eastAsia="仿宋_GB2312"/>
                <w:kern w:val="0"/>
                <w:sz w:val="24"/>
                <w:lang w:bidi="ar"/>
              </w:rPr>
            </w:pPr>
            <w:r>
              <w:rPr>
                <w:rFonts w:eastAsia="仿宋_GB2312"/>
                <w:color w:val="000000"/>
                <w:kern w:val="0"/>
                <w:sz w:val="24"/>
                <w:lang w:bidi="ar"/>
              </w:rPr>
              <w:t>跟踪督促企业做好问题整改，对逾期不整改或整改不到位的，依法严格落实执法。</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eastAsia="仿宋_GB2312"/>
                <w:sz w:val="24"/>
              </w:rPr>
            </w:pPr>
          </w:p>
        </w:tc>
      </w:tr>
      <w:tr>
        <w:tblPrEx>
          <w:tblCellMar>
            <w:top w:w="0" w:type="dxa"/>
            <w:left w:w="108" w:type="dxa"/>
            <w:bottom w:w="0" w:type="dxa"/>
            <w:right w:w="108" w:type="dxa"/>
          </w:tblCellMar>
        </w:tblPrEx>
        <w:trPr>
          <w:trHeight w:val="1712" w:hRule="atLeast"/>
          <w:jc w:val="center"/>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rPr>
                <w:rFonts w:ascii="楷体" w:hAnsi="楷体" w:eastAsia="楷体" w:cs="楷体"/>
                <w:sz w:val="24"/>
              </w:rPr>
            </w:pPr>
          </w:p>
        </w:tc>
        <w:tc>
          <w:tcPr>
            <w:tcW w:w="8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rPr>
                <w:rFonts w:ascii="楷体" w:hAnsi="楷体" w:eastAsia="楷体" w:cs="楷体"/>
                <w:b/>
                <w:sz w:val="24"/>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sz w:val="24"/>
              </w:rPr>
            </w:pP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eastAsia="仿宋_GB2312"/>
                <w:sz w:val="24"/>
              </w:rPr>
            </w:pPr>
            <w:r>
              <w:rPr>
                <w:rFonts w:eastAsia="仿宋_GB2312"/>
                <w:kern w:val="0"/>
                <w:sz w:val="24"/>
                <w:lang w:bidi="ar"/>
              </w:rPr>
              <w:t>（</w:t>
            </w:r>
            <w:r>
              <w:rPr>
                <w:rFonts w:hint="eastAsia" w:eastAsia="仿宋_GB2312"/>
                <w:kern w:val="0"/>
                <w:sz w:val="24"/>
                <w:lang w:bidi="ar"/>
              </w:rPr>
              <w:t>6</w:t>
            </w:r>
            <w:r>
              <w:rPr>
                <w:rFonts w:eastAsia="仿宋_GB2312"/>
                <w:kern w:val="0"/>
                <w:sz w:val="24"/>
                <w:lang w:bidi="ar"/>
              </w:rPr>
              <w:t>）加强非法违法“小化工”打击整治力度，保持高压态势，对发现的非法违法“小化工”，依法依规严肃追责问责。</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sz w:val="24"/>
              </w:rPr>
            </w:pPr>
            <w:r>
              <w:rPr>
                <w:rFonts w:eastAsia="仿宋_GB2312"/>
                <w:kern w:val="0"/>
                <w:sz w:val="24"/>
                <w:lang w:bidi="ar"/>
              </w:rPr>
              <w:t>持续推进</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eastAsia="仿宋_GB2312"/>
                <w:sz w:val="24"/>
              </w:rPr>
            </w:pPr>
            <w:r>
              <w:rPr>
                <w:rFonts w:eastAsia="仿宋_GB2312"/>
                <w:kern w:val="0"/>
                <w:sz w:val="24"/>
                <w:lang w:bidi="ar"/>
              </w:rPr>
              <w:t>贯彻执行、指导帮助、监督执法</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eastAsia="仿宋_GB2312"/>
                <w:sz w:val="24"/>
              </w:rPr>
            </w:pPr>
            <w:r>
              <w:rPr>
                <w:rFonts w:eastAsia="仿宋_GB2312"/>
                <w:kern w:val="0"/>
                <w:sz w:val="24"/>
                <w:lang w:bidi="ar"/>
              </w:rPr>
              <w:t>贯彻执行、强化排查、严格执法</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eastAsia="仿宋_GB2312"/>
                <w:sz w:val="24"/>
              </w:rPr>
            </w:pPr>
          </w:p>
        </w:tc>
      </w:tr>
      <w:tr>
        <w:tblPrEx>
          <w:tblCellMar>
            <w:top w:w="0" w:type="dxa"/>
            <w:left w:w="108" w:type="dxa"/>
            <w:bottom w:w="0" w:type="dxa"/>
            <w:right w:w="108" w:type="dxa"/>
          </w:tblCellMar>
        </w:tblPrEx>
        <w:trPr>
          <w:trHeight w:val="1983" w:hRule="atLeast"/>
          <w:jc w:val="center"/>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rPr>
                <w:rFonts w:ascii="楷体" w:hAnsi="楷体" w:eastAsia="楷体" w:cs="楷体"/>
                <w:sz w:val="24"/>
              </w:rPr>
            </w:pPr>
          </w:p>
        </w:tc>
        <w:tc>
          <w:tcPr>
            <w:tcW w:w="8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rPr>
                <w:rFonts w:ascii="楷体" w:hAnsi="楷体" w:eastAsia="楷体" w:cs="楷体"/>
                <w:b/>
                <w:sz w:val="24"/>
              </w:rPr>
            </w:pP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b/>
                <w:sz w:val="24"/>
              </w:rPr>
            </w:pPr>
            <w:r>
              <w:rPr>
                <w:rFonts w:ascii="楷体" w:hAnsi="楷体" w:eastAsia="楷体" w:cs="楷体"/>
                <w:b/>
                <w:kern w:val="0"/>
                <w:sz w:val="24"/>
                <w:lang w:bidi="ar"/>
              </w:rPr>
              <w:t>18.加强安全监管人员培训</w:t>
            </w: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eastAsia="仿宋_GB2312"/>
                <w:sz w:val="24"/>
              </w:rPr>
            </w:pPr>
            <w:r>
              <w:rPr>
                <w:rFonts w:eastAsia="仿宋_GB2312"/>
                <w:kern w:val="0"/>
                <w:sz w:val="24"/>
                <w:lang w:bidi="ar"/>
              </w:rPr>
              <w:t>配合</w:t>
            </w:r>
            <w:r>
              <w:rPr>
                <w:rFonts w:hint="eastAsia" w:eastAsia="仿宋_GB2312"/>
                <w:kern w:val="0"/>
                <w:sz w:val="24"/>
                <w:lang w:bidi="ar"/>
              </w:rPr>
              <w:t>州</w:t>
            </w:r>
            <w:r>
              <w:rPr>
                <w:rFonts w:eastAsia="仿宋_GB2312"/>
                <w:kern w:val="0"/>
                <w:sz w:val="24"/>
                <w:lang w:bidi="ar"/>
              </w:rPr>
              <w:t>应急管理</w:t>
            </w:r>
            <w:r>
              <w:rPr>
                <w:rFonts w:hint="eastAsia" w:eastAsia="仿宋_GB2312"/>
                <w:kern w:val="0"/>
                <w:sz w:val="24"/>
                <w:lang w:bidi="ar"/>
              </w:rPr>
              <w:t>局</w:t>
            </w:r>
            <w:r>
              <w:rPr>
                <w:rFonts w:eastAsia="仿宋_GB2312"/>
                <w:kern w:val="0"/>
                <w:sz w:val="24"/>
                <w:lang w:bidi="ar"/>
              </w:rPr>
              <w:t>开展全</w:t>
            </w:r>
            <w:r>
              <w:rPr>
                <w:rFonts w:hint="eastAsia" w:eastAsia="仿宋_GB2312"/>
                <w:kern w:val="0"/>
                <w:sz w:val="24"/>
                <w:lang w:bidi="ar"/>
              </w:rPr>
              <w:t>州</w:t>
            </w:r>
            <w:r>
              <w:rPr>
                <w:rFonts w:eastAsia="仿宋_GB2312"/>
                <w:kern w:val="0"/>
                <w:sz w:val="24"/>
                <w:lang w:bidi="ar"/>
              </w:rPr>
              <w:t>年度危险化学品安全监管人员专题业务培训，积极创造条件，组织开展</w:t>
            </w:r>
            <w:r>
              <w:rPr>
                <w:rFonts w:hint="eastAsia" w:eastAsia="仿宋_GB2312"/>
                <w:kern w:val="0"/>
                <w:sz w:val="24"/>
                <w:lang w:bidi="ar"/>
              </w:rPr>
              <w:t>全县</w:t>
            </w:r>
            <w:r>
              <w:rPr>
                <w:rFonts w:eastAsia="仿宋_GB2312"/>
                <w:kern w:val="0"/>
                <w:sz w:val="24"/>
                <w:lang w:bidi="ar"/>
              </w:rPr>
              <w:t>危险化学品安全监管业务培训，加强政策解读，深化共识，持续提升安全监管人员履职能力。</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sz w:val="24"/>
              </w:rPr>
            </w:pPr>
            <w:r>
              <w:rPr>
                <w:rFonts w:eastAsia="仿宋_GB2312"/>
                <w:kern w:val="0"/>
                <w:sz w:val="24"/>
                <w:lang w:bidi="ar"/>
              </w:rPr>
              <w:t>9月底前</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sz w:val="24"/>
              </w:rPr>
            </w:pPr>
            <w:r>
              <w:rPr>
                <w:rFonts w:eastAsia="仿宋_GB2312"/>
                <w:kern w:val="0"/>
                <w:sz w:val="24"/>
                <w:lang w:bidi="ar"/>
              </w:rPr>
              <w:t>配合</w:t>
            </w:r>
            <w:r>
              <w:rPr>
                <w:rFonts w:hint="eastAsia" w:eastAsia="仿宋_GB2312"/>
                <w:kern w:val="0"/>
                <w:sz w:val="24"/>
                <w:lang w:bidi="ar"/>
              </w:rPr>
              <w:t>州局</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sz w:val="24"/>
              </w:rPr>
            </w:pPr>
            <w:r>
              <w:rPr>
                <w:rFonts w:eastAsia="仿宋_GB2312"/>
                <w:kern w:val="0"/>
                <w:sz w:val="24"/>
                <w:lang w:bidi="ar"/>
              </w:rPr>
              <w:t>配合</w:t>
            </w:r>
            <w:r>
              <w:rPr>
                <w:rFonts w:hint="eastAsia" w:eastAsia="仿宋_GB2312"/>
                <w:kern w:val="0"/>
                <w:sz w:val="24"/>
                <w:lang w:bidi="ar"/>
              </w:rPr>
              <w:t>县局</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eastAsia="仿宋_GB2312"/>
                <w:sz w:val="24"/>
              </w:rPr>
            </w:pPr>
          </w:p>
        </w:tc>
      </w:tr>
      <w:tr>
        <w:tblPrEx>
          <w:tblCellMar>
            <w:top w:w="0" w:type="dxa"/>
            <w:left w:w="108" w:type="dxa"/>
            <w:bottom w:w="0" w:type="dxa"/>
            <w:right w:w="108" w:type="dxa"/>
          </w:tblCellMar>
        </w:tblPrEx>
        <w:trPr>
          <w:trHeight w:val="1395" w:hRule="atLeast"/>
          <w:jc w:val="center"/>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rPr>
                <w:rFonts w:ascii="楷体" w:hAnsi="楷体" w:eastAsia="楷体" w:cs="楷体"/>
                <w:sz w:val="24"/>
              </w:rPr>
            </w:pPr>
          </w:p>
        </w:tc>
        <w:tc>
          <w:tcPr>
            <w:tcW w:w="8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rPr>
                <w:rFonts w:ascii="楷体" w:hAnsi="楷体" w:eastAsia="楷体" w:cs="楷体"/>
                <w:b/>
                <w:sz w:val="24"/>
              </w:rPr>
            </w:pPr>
          </w:p>
        </w:tc>
        <w:tc>
          <w:tcPr>
            <w:tcW w:w="11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楷体" w:hAnsi="楷体" w:eastAsia="楷体" w:cs="楷体"/>
                <w:b/>
                <w:sz w:val="24"/>
              </w:rPr>
            </w:pPr>
            <w:r>
              <w:rPr>
                <w:rFonts w:ascii="楷体" w:hAnsi="楷体" w:eastAsia="楷体" w:cs="楷体"/>
                <w:b/>
                <w:kern w:val="0"/>
                <w:sz w:val="24"/>
                <w:lang w:bidi="ar"/>
              </w:rPr>
              <w:t>19.加强危险化学品生产企业安全生产标准化体系创建</w:t>
            </w: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eastAsia="仿宋_GB2312"/>
                <w:sz w:val="24"/>
              </w:rPr>
            </w:pPr>
            <w:r>
              <w:rPr>
                <w:rFonts w:eastAsia="仿宋_GB2312"/>
                <w:kern w:val="0"/>
                <w:sz w:val="24"/>
                <w:lang w:bidi="ar"/>
              </w:rPr>
              <w:t>（1）加强危险化学品生产企业安全生产标准化定级标准宣贯培训，督促企业加强安全生产标准化建设，推动打造一批安全生产标准化标杆企业。</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sz w:val="24"/>
              </w:rPr>
            </w:pPr>
            <w:r>
              <w:rPr>
                <w:rFonts w:eastAsia="仿宋_GB2312"/>
                <w:kern w:val="0"/>
                <w:sz w:val="24"/>
                <w:lang w:bidi="ar"/>
              </w:rPr>
              <w:t>持续推进</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sz w:val="24"/>
              </w:rPr>
            </w:pPr>
            <w:r>
              <w:rPr>
                <w:rFonts w:eastAsia="仿宋_GB2312"/>
                <w:kern w:val="0"/>
                <w:sz w:val="24"/>
                <w:lang w:bidi="ar"/>
              </w:rPr>
              <w:t>指导帮扶</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sz w:val="24"/>
              </w:rPr>
            </w:pPr>
            <w:r>
              <w:rPr>
                <w:rFonts w:eastAsia="仿宋_GB2312"/>
                <w:kern w:val="0"/>
                <w:sz w:val="24"/>
                <w:lang w:bidi="ar"/>
              </w:rPr>
              <w:t>指导帮扶</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eastAsia="仿宋_GB2312"/>
                <w:sz w:val="24"/>
              </w:rPr>
            </w:pPr>
          </w:p>
        </w:tc>
      </w:tr>
      <w:tr>
        <w:tblPrEx>
          <w:tblCellMar>
            <w:top w:w="0" w:type="dxa"/>
            <w:left w:w="108" w:type="dxa"/>
            <w:bottom w:w="0" w:type="dxa"/>
            <w:right w:w="108" w:type="dxa"/>
          </w:tblCellMar>
        </w:tblPrEx>
        <w:trPr>
          <w:trHeight w:val="2130" w:hRule="atLeast"/>
          <w:jc w:val="center"/>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rPr>
                <w:rFonts w:ascii="楷体" w:hAnsi="楷体" w:eastAsia="楷体" w:cs="楷体"/>
                <w:sz w:val="24"/>
              </w:rPr>
            </w:pPr>
          </w:p>
        </w:tc>
        <w:tc>
          <w:tcPr>
            <w:tcW w:w="8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rPr>
                <w:rFonts w:ascii="楷体" w:hAnsi="楷体" w:eastAsia="楷体" w:cs="楷体"/>
                <w:b/>
                <w:sz w:val="24"/>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sz w:val="24"/>
              </w:rPr>
            </w:pP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eastAsia="仿宋_GB2312"/>
                <w:sz w:val="24"/>
              </w:rPr>
            </w:pPr>
            <w:r>
              <w:rPr>
                <w:rFonts w:eastAsia="仿宋_GB2312"/>
                <w:kern w:val="0"/>
                <w:sz w:val="24"/>
                <w:lang w:bidi="ar"/>
              </w:rPr>
              <w:t>（2）加强监督指导，推动危险化学品生产企业投产后1年内达到三级及以上安全生产标准化，每年按照达标企业2</w:t>
            </w:r>
            <w:r>
              <w:rPr>
                <w:rFonts w:hint="eastAsia" w:eastAsia="仿宋_GB2312"/>
                <w:kern w:val="0"/>
                <w:sz w:val="24"/>
                <w:lang w:bidi="ar"/>
              </w:rPr>
              <w:t>5</w:t>
            </w:r>
            <w:r>
              <w:rPr>
                <w:rFonts w:eastAsia="仿宋_GB2312"/>
                <w:kern w:val="0"/>
                <w:sz w:val="24"/>
                <w:lang w:bidi="ar"/>
              </w:rPr>
              <w:t>%的比例进行复核，提升现场评审和标准化定级质量。</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sz w:val="24"/>
              </w:rPr>
            </w:pPr>
            <w:r>
              <w:rPr>
                <w:rFonts w:eastAsia="仿宋_GB2312"/>
                <w:kern w:val="0"/>
                <w:sz w:val="24"/>
                <w:lang w:bidi="ar"/>
              </w:rPr>
              <w:t>持续推进</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eastAsia="仿宋_GB2312"/>
                <w:kern w:val="0"/>
                <w:sz w:val="24"/>
                <w:lang w:bidi="ar"/>
              </w:rPr>
            </w:pPr>
            <w:r>
              <w:rPr>
                <w:rFonts w:hint="eastAsia" w:eastAsia="仿宋_GB2312"/>
                <w:kern w:val="0"/>
                <w:sz w:val="24"/>
                <w:lang w:bidi="ar"/>
              </w:rPr>
              <w:t>1.</w:t>
            </w:r>
            <w:r>
              <w:rPr>
                <w:rFonts w:eastAsia="仿宋_GB2312"/>
                <w:kern w:val="0"/>
                <w:sz w:val="24"/>
                <w:lang w:bidi="ar"/>
              </w:rPr>
              <w:t>负责三级安全标准化企业评审；</w:t>
            </w:r>
          </w:p>
          <w:p>
            <w:pPr>
              <w:widowControl/>
              <w:spacing w:line="240" w:lineRule="exact"/>
              <w:textAlignment w:val="center"/>
              <w:rPr>
                <w:rFonts w:eastAsia="仿宋_GB2312"/>
                <w:kern w:val="0"/>
                <w:sz w:val="24"/>
                <w:lang w:bidi="ar"/>
              </w:rPr>
            </w:pPr>
            <w:r>
              <w:rPr>
                <w:rFonts w:hint="eastAsia" w:eastAsia="仿宋_GB2312"/>
                <w:kern w:val="0"/>
                <w:sz w:val="24"/>
                <w:lang w:bidi="ar"/>
              </w:rPr>
              <w:t>2.</w:t>
            </w:r>
            <w:r>
              <w:rPr>
                <w:rFonts w:eastAsia="仿宋_GB2312"/>
                <w:kern w:val="0"/>
                <w:sz w:val="24"/>
                <w:lang w:bidi="ar"/>
              </w:rPr>
              <w:t>组织宣贯安全生产标准化定级标准；</w:t>
            </w:r>
          </w:p>
          <w:p>
            <w:pPr>
              <w:widowControl/>
              <w:spacing w:line="240" w:lineRule="exact"/>
              <w:textAlignment w:val="center"/>
              <w:rPr>
                <w:rFonts w:eastAsia="仿宋_GB2312"/>
                <w:sz w:val="24"/>
              </w:rPr>
            </w:pPr>
            <w:r>
              <w:rPr>
                <w:rFonts w:eastAsia="仿宋_GB2312"/>
                <w:kern w:val="0"/>
                <w:sz w:val="24"/>
                <w:lang w:bidi="ar"/>
              </w:rPr>
              <w:t>3.监督指导本地区安全标准化工作。</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sz w:val="24"/>
              </w:rPr>
            </w:pPr>
            <w:r>
              <w:rPr>
                <w:rFonts w:eastAsia="仿宋_GB2312"/>
                <w:kern w:val="0"/>
                <w:sz w:val="24"/>
                <w:lang w:bidi="ar"/>
              </w:rPr>
              <w:t>日常监督、协调配合</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eastAsia="仿宋_GB2312"/>
                <w:sz w:val="24"/>
              </w:rPr>
            </w:pPr>
          </w:p>
        </w:tc>
      </w:tr>
      <w:tr>
        <w:tblPrEx>
          <w:tblCellMar>
            <w:top w:w="0" w:type="dxa"/>
            <w:left w:w="108" w:type="dxa"/>
            <w:bottom w:w="0" w:type="dxa"/>
            <w:right w:w="108" w:type="dxa"/>
          </w:tblCellMar>
        </w:tblPrEx>
        <w:trPr>
          <w:trHeight w:val="1293" w:hRule="atLeast"/>
          <w:jc w:val="center"/>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rPr>
                <w:rFonts w:ascii="楷体" w:hAnsi="楷体" w:eastAsia="楷体" w:cs="楷体"/>
                <w:sz w:val="24"/>
              </w:rPr>
            </w:pPr>
          </w:p>
        </w:tc>
        <w:tc>
          <w:tcPr>
            <w:tcW w:w="8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rPr>
                <w:rFonts w:ascii="楷体" w:hAnsi="楷体" w:eastAsia="楷体" w:cs="楷体"/>
                <w:b/>
                <w:sz w:val="24"/>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sz w:val="24"/>
              </w:rPr>
            </w:pP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eastAsia="仿宋_GB2312"/>
                <w:sz w:val="24"/>
              </w:rPr>
            </w:pPr>
            <w:r>
              <w:rPr>
                <w:rFonts w:eastAsia="仿宋_GB2312"/>
                <w:kern w:val="0"/>
                <w:sz w:val="24"/>
                <w:lang w:bidi="ar"/>
              </w:rPr>
              <w:t>（</w:t>
            </w:r>
            <w:r>
              <w:rPr>
                <w:rFonts w:hint="eastAsia" w:eastAsia="仿宋_GB2312"/>
                <w:kern w:val="0"/>
                <w:sz w:val="24"/>
                <w:lang w:bidi="ar"/>
              </w:rPr>
              <w:t>3</w:t>
            </w:r>
            <w:r>
              <w:rPr>
                <w:rFonts w:eastAsia="仿宋_GB2312"/>
                <w:kern w:val="0"/>
                <w:sz w:val="24"/>
                <w:lang w:bidi="ar"/>
              </w:rPr>
              <w:t>）强化日常监督抽查，对安全管理水平不达标、发生生产安全事故的，公告撤销其标准化等级，倒逼企业有效运行标准化体系。</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sz w:val="24"/>
              </w:rPr>
            </w:pPr>
            <w:r>
              <w:rPr>
                <w:rFonts w:eastAsia="仿宋_GB2312"/>
                <w:kern w:val="0"/>
                <w:sz w:val="24"/>
                <w:lang w:bidi="ar"/>
              </w:rPr>
              <w:t>持续推进</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rPr>
                <w:rFonts w:eastAsia="仿宋_GB2312"/>
                <w:sz w:val="24"/>
              </w:rPr>
            </w:pPr>
            <w:r>
              <w:rPr>
                <w:rFonts w:hint="eastAsia" w:eastAsia="仿宋_GB2312"/>
                <w:sz w:val="24"/>
              </w:rPr>
              <w:t>指导帮扶，重点负责三级标准化企业监督检查。</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eastAsia="仿宋_GB2312"/>
                <w:b/>
                <w:bCs/>
                <w:sz w:val="24"/>
              </w:rPr>
            </w:pPr>
            <w:r>
              <w:rPr>
                <w:rFonts w:eastAsia="仿宋_GB2312"/>
                <w:kern w:val="0"/>
                <w:sz w:val="24"/>
                <w:lang w:bidi="ar"/>
              </w:rPr>
              <w:t>日常监督</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eastAsia="仿宋_GB2312"/>
                <w:sz w:val="24"/>
              </w:rPr>
            </w:pPr>
          </w:p>
        </w:tc>
      </w:tr>
      <w:tr>
        <w:tblPrEx>
          <w:tblCellMar>
            <w:top w:w="0" w:type="dxa"/>
            <w:left w:w="108" w:type="dxa"/>
            <w:bottom w:w="0" w:type="dxa"/>
            <w:right w:w="108" w:type="dxa"/>
          </w:tblCellMar>
        </w:tblPrEx>
        <w:trPr>
          <w:trHeight w:val="1242" w:hRule="atLeast"/>
          <w:jc w:val="center"/>
        </w:trPr>
        <w:tc>
          <w:tcPr>
            <w:tcW w:w="55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rPr>
                <w:rFonts w:ascii="楷体" w:hAnsi="楷体" w:eastAsia="楷体" w:cs="楷体"/>
                <w:sz w:val="24"/>
              </w:rPr>
            </w:pPr>
          </w:p>
        </w:tc>
        <w:tc>
          <w:tcPr>
            <w:tcW w:w="8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40" w:lineRule="exact"/>
              <w:jc w:val="center"/>
              <w:rPr>
                <w:rFonts w:ascii="楷体" w:hAnsi="楷体" w:eastAsia="楷体" w:cs="楷体"/>
                <w:b/>
                <w:sz w:val="24"/>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楷体" w:hAnsi="楷体" w:eastAsia="楷体" w:cs="楷体"/>
                <w:b/>
                <w:sz w:val="24"/>
              </w:rPr>
            </w:pPr>
          </w:p>
        </w:tc>
        <w:tc>
          <w:tcPr>
            <w:tcW w:w="38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textAlignment w:val="center"/>
              <w:rPr>
                <w:rFonts w:eastAsia="仿宋_GB2312"/>
                <w:sz w:val="24"/>
              </w:rPr>
            </w:pPr>
            <w:r>
              <w:rPr>
                <w:rFonts w:eastAsia="仿宋_GB2312"/>
                <w:kern w:val="0"/>
                <w:sz w:val="24"/>
                <w:lang w:bidi="ar"/>
              </w:rPr>
              <w:t>（</w:t>
            </w:r>
            <w:r>
              <w:rPr>
                <w:rFonts w:hint="eastAsia" w:eastAsia="仿宋_GB2312"/>
                <w:kern w:val="0"/>
                <w:sz w:val="24"/>
                <w:lang w:bidi="ar"/>
              </w:rPr>
              <w:t>4</w:t>
            </w:r>
            <w:r>
              <w:rPr>
                <w:rFonts w:eastAsia="仿宋_GB2312"/>
                <w:kern w:val="0"/>
                <w:sz w:val="24"/>
                <w:lang w:bidi="ar"/>
              </w:rPr>
              <w:t>）推动落实安全生产标准化企业减少检查频次、优先复产验收、降低安全生产责任保险和工伤保险费率等激励政策。</w:t>
            </w:r>
          </w:p>
        </w:tc>
        <w:tc>
          <w:tcPr>
            <w:tcW w:w="1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sz w:val="24"/>
              </w:rPr>
            </w:pPr>
            <w:r>
              <w:rPr>
                <w:rFonts w:eastAsia="仿宋_GB2312"/>
                <w:kern w:val="0"/>
                <w:sz w:val="24"/>
                <w:lang w:bidi="ar"/>
              </w:rPr>
              <w:t>持续推进</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sz w:val="24"/>
              </w:rPr>
            </w:pPr>
            <w:r>
              <w:rPr>
                <w:rFonts w:hint="eastAsia" w:eastAsia="仿宋_GB2312"/>
                <w:sz w:val="24"/>
              </w:rPr>
              <w:t>贯彻执行</w:t>
            </w:r>
          </w:p>
        </w:tc>
        <w:tc>
          <w:tcPr>
            <w:tcW w:w="2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eastAsia="仿宋_GB2312"/>
                <w:sz w:val="24"/>
              </w:rPr>
            </w:pPr>
            <w:r>
              <w:rPr>
                <w:rFonts w:hint="eastAsia" w:eastAsia="仿宋_GB2312"/>
                <w:sz w:val="24"/>
              </w:rPr>
              <w:t>贯彻执行</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exact"/>
              <w:rPr>
                <w:sz w:val="24"/>
              </w:rPr>
            </w:pPr>
          </w:p>
        </w:tc>
      </w:tr>
    </w:tbl>
    <w:p>
      <w:pPr>
        <w:pStyle w:val="2"/>
        <w:spacing w:line="240" w:lineRule="exact"/>
        <w:ind w:left="0" w:leftChars="0" w:firstLine="0" w:firstLineChars="0"/>
        <w:rPr>
          <w:sz w:val="21"/>
          <w:szCs w:val="21"/>
        </w:rPr>
      </w:pPr>
    </w:p>
    <w:sectPr>
      <w:footerReference r:id="rId5" w:type="first"/>
      <w:footerReference r:id="rId3" w:type="default"/>
      <w:footerReference r:id="rId4" w:type="even"/>
      <w:pgSz w:w="16838" w:h="11906" w:orient="landscape"/>
      <w:pgMar w:top="1587" w:right="1701" w:bottom="1474" w:left="1587" w:header="851" w:footer="1191" w:gutter="0"/>
      <w:cols w:space="0" w:num="1"/>
      <w:titlePg/>
      <w:docGrid w:type="linesAndChars" w:linePitch="58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87400" cy="236855"/>
              <wp:effectExtent l="0" t="0" r="0" b="0"/>
              <wp:wrapNone/>
              <wp:docPr id="4" name="文本框 4"/>
              <wp:cNvGraphicFramePr/>
              <a:graphic xmlns:a="http://schemas.openxmlformats.org/drawingml/2006/main">
                <a:graphicData uri="http://schemas.microsoft.com/office/word/2010/wordprocessingShape">
                  <wps:wsp>
                    <wps:cNvSpPr txBox="1"/>
                    <wps:spPr>
                      <a:xfrm>
                        <a:off x="0" y="0"/>
                        <a:ext cx="787400" cy="236855"/>
                      </a:xfrm>
                      <a:prstGeom prst="rect">
                        <a:avLst/>
                      </a:prstGeom>
                      <a:noFill/>
                      <a:ln w="6350">
                        <a:noFill/>
                      </a:ln>
                      <a:effectLst/>
                    </wps:spPr>
                    <wps:txbx>
                      <w:txbxContent>
                        <w:p>
                          <w:pPr>
                            <w:pStyle w:val="5"/>
                            <w:jc w:val="right"/>
                            <w:rPr>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21</w:t>
                          </w:r>
                          <w:r>
                            <w:rPr>
                              <w:rFonts w:hint="eastAsia"/>
                              <w:sz w:val="28"/>
                              <w:szCs w:val="28"/>
                            </w:rPr>
                            <w:fldChar w:fldCharType="end"/>
                          </w:r>
                          <w:r>
                            <w:rPr>
                              <w:rFonts w:hint="eastAsia"/>
                              <w:sz w:val="28"/>
                              <w:szCs w:val="28"/>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0pt;height:18.65pt;width:62pt;mso-position-horizontal:outside;mso-position-horizontal-relative:margin;z-index:251659264;mso-width-relative:page;mso-height-relative:page;" filled="f" stroked="f" coordsize="21600,21600" o:gfxdata="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YJnuj0wAAAAQBAAAPAAAAAAAAAAEAIAAAACIAAABkcnMvZG93bnJldi54&#10;bWxQSwECFAAUAAAACACHTuJA9IL6cTgCAABjBAAADgAAAAAAAAABACAAAAAiAQAAZHJzL2Uyb0Rv&#10;Yy54bWxQSwUGAAAAAAYABgBZAQAAzAUAAAAA&#10;">
              <v:fill on="f" focussize="0,0"/>
              <v:stroke on="f" weight="0.5pt"/>
              <v:imagedata o:title=""/>
              <o:lock v:ext="edit" aspectratio="f"/>
              <v:textbox inset="0mm,0mm,0mm,0mm">
                <w:txbxContent>
                  <w:p>
                    <w:pPr>
                      <w:pStyle w:val="5"/>
                      <w:jc w:val="right"/>
                      <w:rPr>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21</w:t>
                    </w:r>
                    <w:r>
                      <w:rPr>
                        <w:rFonts w:hint="eastAsia"/>
                        <w:sz w:val="28"/>
                        <w:szCs w:val="28"/>
                      </w:rPr>
                      <w:fldChar w:fldCharType="end"/>
                    </w:r>
                    <w:r>
                      <w:rPr>
                        <w:rFonts w:hint="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ind w:firstLine="280" w:firstLineChars="100"/>
                            <w:rPr>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22</w:t>
                          </w:r>
                          <w:r>
                            <w:rPr>
                              <w:rFonts w:hint="eastAsia"/>
                              <w:sz w:val="28"/>
                              <w:szCs w:val="28"/>
                            </w:rPr>
                            <w:fldChar w:fldCharType="end"/>
                          </w:r>
                          <w:r>
                            <w:rPr>
                              <w:rFonts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pStyle w:val="5"/>
                      <w:ind w:firstLine="280" w:firstLineChars="100"/>
                      <w:rPr>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22</w:t>
                    </w:r>
                    <w:r>
                      <w:rPr>
                        <w:rFonts w:hint="eastAsia"/>
                        <w:sz w:val="28"/>
                        <w:szCs w:val="28"/>
                      </w:rPr>
                      <w:fldChar w:fldCharType="end"/>
                    </w:r>
                    <w:r>
                      <w:rPr>
                        <w:rFonts w:hint="eastAsia"/>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8"/>
                              <w:szCs w:val="44"/>
                            </w:rPr>
                          </w:pPr>
                          <w:r>
                            <w:rPr>
                              <w:sz w:val="28"/>
                              <w:szCs w:val="44"/>
                            </w:rPr>
                            <w:t xml:space="preserve">— </w:t>
                          </w:r>
                          <w:r>
                            <w:rPr>
                              <w:sz w:val="28"/>
                              <w:szCs w:val="44"/>
                            </w:rPr>
                            <w:fldChar w:fldCharType="begin"/>
                          </w:r>
                          <w:r>
                            <w:rPr>
                              <w:sz w:val="28"/>
                              <w:szCs w:val="44"/>
                            </w:rPr>
                            <w:instrText xml:space="preserve"> PAGE  \* MERGEFORMAT </w:instrText>
                          </w:r>
                          <w:r>
                            <w:rPr>
                              <w:sz w:val="28"/>
                              <w:szCs w:val="44"/>
                            </w:rPr>
                            <w:fldChar w:fldCharType="separate"/>
                          </w:r>
                          <w:r>
                            <w:rPr>
                              <w:sz w:val="28"/>
                              <w:szCs w:val="44"/>
                            </w:rPr>
                            <w:t>10</w:t>
                          </w:r>
                          <w:r>
                            <w:rPr>
                              <w:sz w:val="28"/>
                              <w:szCs w:val="44"/>
                            </w:rPr>
                            <w:fldChar w:fldCharType="end"/>
                          </w:r>
                          <w:r>
                            <w:rPr>
                              <w:sz w:val="28"/>
                              <w:szCs w:val="4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5"/>
                      <w:rPr>
                        <w:sz w:val="28"/>
                        <w:szCs w:val="44"/>
                      </w:rPr>
                    </w:pPr>
                    <w:r>
                      <w:rPr>
                        <w:sz w:val="28"/>
                        <w:szCs w:val="44"/>
                      </w:rPr>
                      <w:t xml:space="preserve">— </w:t>
                    </w:r>
                    <w:r>
                      <w:rPr>
                        <w:sz w:val="28"/>
                        <w:szCs w:val="44"/>
                      </w:rPr>
                      <w:fldChar w:fldCharType="begin"/>
                    </w:r>
                    <w:r>
                      <w:rPr>
                        <w:sz w:val="28"/>
                        <w:szCs w:val="44"/>
                      </w:rPr>
                      <w:instrText xml:space="preserve"> PAGE  \* MERGEFORMAT </w:instrText>
                    </w:r>
                    <w:r>
                      <w:rPr>
                        <w:sz w:val="28"/>
                        <w:szCs w:val="44"/>
                      </w:rPr>
                      <w:fldChar w:fldCharType="separate"/>
                    </w:r>
                    <w:r>
                      <w:rPr>
                        <w:sz w:val="28"/>
                        <w:szCs w:val="44"/>
                      </w:rPr>
                      <w:t>10</w:t>
                    </w:r>
                    <w:r>
                      <w:rPr>
                        <w:sz w:val="28"/>
                        <w:szCs w:val="44"/>
                      </w:rPr>
                      <w:fldChar w:fldCharType="end"/>
                    </w:r>
                    <w:r>
                      <w:rPr>
                        <w:sz w:val="28"/>
                        <w:szCs w:val="4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E8F633"/>
    <w:multiLevelType w:val="singleLevel"/>
    <w:tmpl w:val="7EE8F633"/>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evenAndOddHeaders w:val="1"/>
  <w:drawingGridHorizontalSpacing w:val="158"/>
  <w:drawingGridVerticalSpacing w:val="295"/>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zNTI5NzMzYjIwNjhiMWFhZTM2MTNiMzM0YjJjYzQifQ=="/>
  </w:docVars>
  <w:rsids>
    <w:rsidRoot w:val="38C52EDE"/>
    <w:rsid w:val="000606D0"/>
    <w:rsid w:val="003E4A76"/>
    <w:rsid w:val="00410301"/>
    <w:rsid w:val="00991356"/>
    <w:rsid w:val="00BC39E8"/>
    <w:rsid w:val="00EE3CDF"/>
    <w:rsid w:val="00FC445E"/>
    <w:rsid w:val="014529E9"/>
    <w:rsid w:val="020D2DCD"/>
    <w:rsid w:val="03583D59"/>
    <w:rsid w:val="064643C3"/>
    <w:rsid w:val="07E64C2E"/>
    <w:rsid w:val="097A64B9"/>
    <w:rsid w:val="122B6BC7"/>
    <w:rsid w:val="140F5DF3"/>
    <w:rsid w:val="141962D5"/>
    <w:rsid w:val="15E77555"/>
    <w:rsid w:val="16382998"/>
    <w:rsid w:val="17C0446B"/>
    <w:rsid w:val="18015E9E"/>
    <w:rsid w:val="1B8D3B96"/>
    <w:rsid w:val="1D22621D"/>
    <w:rsid w:val="1D2F23DF"/>
    <w:rsid w:val="1EEA7C95"/>
    <w:rsid w:val="1FB70F22"/>
    <w:rsid w:val="21CB1DD5"/>
    <w:rsid w:val="23003535"/>
    <w:rsid w:val="23903346"/>
    <w:rsid w:val="24557AC1"/>
    <w:rsid w:val="24EB4341"/>
    <w:rsid w:val="260B0854"/>
    <w:rsid w:val="26A7523A"/>
    <w:rsid w:val="27A76AA6"/>
    <w:rsid w:val="28586392"/>
    <w:rsid w:val="28603A03"/>
    <w:rsid w:val="2A73697E"/>
    <w:rsid w:val="2AF75C32"/>
    <w:rsid w:val="2B90034C"/>
    <w:rsid w:val="2DDA4FA0"/>
    <w:rsid w:val="30CB04A3"/>
    <w:rsid w:val="33A27B54"/>
    <w:rsid w:val="34835BDE"/>
    <w:rsid w:val="35312D08"/>
    <w:rsid w:val="35E21E72"/>
    <w:rsid w:val="37BBDFBF"/>
    <w:rsid w:val="38B16CBE"/>
    <w:rsid w:val="38C52EDE"/>
    <w:rsid w:val="38DD6FCC"/>
    <w:rsid w:val="39552C59"/>
    <w:rsid w:val="396028EB"/>
    <w:rsid w:val="39FC21BB"/>
    <w:rsid w:val="3B963504"/>
    <w:rsid w:val="3BD15A5A"/>
    <w:rsid w:val="3C00362F"/>
    <w:rsid w:val="3CC0793E"/>
    <w:rsid w:val="3F71167E"/>
    <w:rsid w:val="3FE060E4"/>
    <w:rsid w:val="40075AE9"/>
    <w:rsid w:val="40E307E3"/>
    <w:rsid w:val="40F94758"/>
    <w:rsid w:val="414E4087"/>
    <w:rsid w:val="42D109CD"/>
    <w:rsid w:val="43926F9E"/>
    <w:rsid w:val="43D334C1"/>
    <w:rsid w:val="470101E2"/>
    <w:rsid w:val="47CE0635"/>
    <w:rsid w:val="480C7120"/>
    <w:rsid w:val="4BAC758D"/>
    <w:rsid w:val="4C034542"/>
    <w:rsid w:val="4C4B3922"/>
    <w:rsid w:val="4CCB4555"/>
    <w:rsid w:val="4DA32C1B"/>
    <w:rsid w:val="4DF2158A"/>
    <w:rsid w:val="4F2F4A18"/>
    <w:rsid w:val="4FBE6B10"/>
    <w:rsid w:val="4FCC3975"/>
    <w:rsid w:val="50C3750F"/>
    <w:rsid w:val="56F40E70"/>
    <w:rsid w:val="580115E7"/>
    <w:rsid w:val="583C7BA9"/>
    <w:rsid w:val="5AB83B09"/>
    <w:rsid w:val="5FB94CDF"/>
    <w:rsid w:val="625848FC"/>
    <w:rsid w:val="62943E0E"/>
    <w:rsid w:val="62FFF3CA"/>
    <w:rsid w:val="631C6479"/>
    <w:rsid w:val="649370B5"/>
    <w:rsid w:val="662444B2"/>
    <w:rsid w:val="67CE733F"/>
    <w:rsid w:val="681225BF"/>
    <w:rsid w:val="69620844"/>
    <w:rsid w:val="6C08571F"/>
    <w:rsid w:val="6ED26861"/>
    <w:rsid w:val="6F0623CB"/>
    <w:rsid w:val="6F3B0BE4"/>
    <w:rsid w:val="74307754"/>
    <w:rsid w:val="765032BC"/>
    <w:rsid w:val="77DD6874"/>
    <w:rsid w:val="78776EE5"/>
    <w:rsid w:val="79FF12F8"/>
    <w:rsid w:val="7D952085"/>
    <w:rsid w:val="7E572719"/>
    <w:rsid w:val="7EDC3D00"/>
    <w:rsid w:val="BFFDD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0"/>
    <w:pPr>
      <w:spacing w:after="0"/>
      <w:ind w:firstLine="420" w:firstLineChars="200"/>
    </w:pPr>
  </w:style>
  <w:style w:type="paragraph" w:styleId="3">
    <w:name w:val="Body Text Indent"/>
    <w:basedOn w:val="1"/>
    <w:next w:val="4"/>
    <w:qFormat/>
    <w:uiPriority w:val="0"/>
    <w:pPr>
      <w:spacing w:after="120"/>
      <w:ind w:left="420" w:leftChars="200"/>
    </w:pPr>
  </w:style>
  <w:style w:type="paragraph" w:styleId="4">
    <w:name w:val="Normal Indent"/>
    <w:basedOn w:val="1"/>
    <w:next w:val="1"/>
    <w:qFormat/>
    <w:uiPriority w:val="0"/>
    <w:pPr>
      <w:ind w:firstLine="420" w:firstLineChars="200"/>
    </w:pPr>
    <w:rPr>
      <w:rFonts w:eastAsia="仿宋"/>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font31"/>
    <w:basedOn w:val="9"/>
    <w:qFormat/>
    <w:uiPriority w:val="0"/>
    <w:rPr>
      <w:rFonts w:hint="eastAsia" w:ascii="仿宋_GB2312" w:eastAsia="仿宋_GB2312" w:cs="仿宋_GB2312"/>
      <w:color w:val="000000"/>
      <w:sz w:val="20"/>
      <w:szCs w:val="20"/>
      <w:u w:val="none"/>
    </w:rPr>
  </w:style>
  <w:style w:type="character" w:customStyle="1" w:styleId="11">
    <w:name w:val="font11"/>
    <w:basedOn w:val="9"/>
    <w:qFormat/>
    <w:uiPriority w:val="0"/>
    <w:rPr>
      <w:rFonts w:hint="eastAsia" w:ascii="黑体" w:hAnsi="宋体" w:eastAsia="黑体" w:cs="黑体"/>
      <w:color w:val="000000"/>
      <w:sz w:val="20"/>
      <w:szCs w:val="20"/>
      <w:u w:val="none"/>
    </w:rPr>
  </w:style>
  <w:style w:type="character" w:customStyle="1" w:styleId="12">
    <w:name w:val="font91"/>
    <w:basedOn w:val="9"/>
    <w:qFormat/>
    <w:uiPriority w:val="0"/>
    <w:rPr>
      <w:rFonts w:hint="default" w:ascii="黑体" w:hAnsi="宋体" w:eastAsia="黑体" w:cs="黑体"/>
      <w:color w:val="000000"/>
      <w:sz w:val="28"/>
      <w:szCs w:val="28"/>
      <w:u w:val="none"/>
    </w:rPr>
  </w:style>
  <w:style w:type="character" w:customStyle="1" w:styleId="13">
    <w:name w:val="font41"/>
    <w:basedOn w:val="9"/>
    <w:qFormat/>
    <w:uiPriority w:val="0"/>
    <w:rPr>
      <w:rFonts w:hint="default"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楚雄州直属党政机关单位</Company>
  <Pages>22</Pages>
  <Words>1822</Words>
  <Characters>10386</Characters>
  <Lines>86</Lines>
  <Paragraphs>24</Paragraphs>
  <TotalTime>319</TotalTime>
  <ScaleCrop>false</ScaleCrop>
  <LinksUpToDate>false</LinksUpToDate>
  <CharactersWithSpaces>12184</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2024-01-02T19:15:00Z</dcterms:created>
  <dc:creator>Administrator</dc:creator>
  <cp:lastModifiedBy>Administrator</cp:lastModifiedBy>
  <cp:lastPrinted>2024-03-21T02:32:00Z</cp:lastPrinted>
  <dcterms:modified xsi:type="dcterms:W3CDTF">2024-04-07T07:16:43Z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9007488BAB8743F9B182353F08489839_13</vt:lpwstr>
  </property>
</Properties>
</file>