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default" w:ascii="Times New Roman" w:hAnsi="Times New Roman" w:eastAsia="方正仿宋简体" w:cs="Times New Roman"/>
          <w:kern w:val="0"/>
          <w:sz w:val="32"/>
          <w:szCs w:val="24"/>
        </w:rPr>
      </w:pPr>
      <w:bookmarkStart w:id="0" w:name="_GoBack"/>
      <w:bookmarkEnd w:id="0"/>
      <w:r>
        <w:rPr>
          <w:rFonts w:hint="default" w:ascii="Times New Roman" w:hAnsi="Times New Roman" w:eastAsia="方正仿宋简体" w:cs="Times New Roman"/>
          <w:kern w:val="0"/>
          <w:sz w:val="32"/>
          <w:szCs w:val="24"/>
        </w:rPr>
        <w:t>附件：</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hint="default" w:ascii="Times New Roman" w:hAnsi="Times New Roman" w:eastAsia="方正仿宋简体" w:cs="Times New Roman"/>
          <w:b/>
          <w:bCs/>
          <w:kern w:val="0"/>
          <w:sz w:val="32"/>
          <w:szCs w:val="24"/>
        </w:rPr>
      </w:pPr>
      <w:r>
        <w:rPr>
          <w:rFonts w:hint="default" w:ascii="Times New Roman" w:hAnsi="Times New Roman" w:eastAsia="方正仿宋简体" w:cs="Times New Roman"/>
          <w:b/>
          <w:bCs/>
          <w:kern w:val="0"/>
          <w:sz w:val="32"/>
          <w:szCs w:val="24"/>
        </w:rPr>
        <w:t>工业气体充装、储存、经营企业隐患排查清单</w:t>
      </w:r>
    </w:p>
    <w:tbl>
      <w:tblPr>
        <w:tblStyle w:val="11"/>
        <w:tblW w:w="12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1245"/>
        <w:gridCol w:w="7146"/>
        <w:gridCol w:w="3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12" w:type="dxa"/>
            <w:vAlign w:val="center"/>
          </w:tcPr>
          <w:p>
            <w:pPr>
              <w:pStyle w:val="9"/>
              <w:jc w:val="center"/>
              <w:rPr>
                <w:rFonts w:hint="default" w:ascii="Times New Roman" w:hAnsi="Times New Roman" w:eastAsia="方正仿宋简体" w:cs="Times New Roman"/>
                <w:b/>
                <w:bCs/>
              </w:rPr>
            </w:pPr>
            <w:r>
              <w:rPr>
                <w:rFonts w:hint="default" w:ascii="Times New Roman" w:hAnsi="Times New Roman" w:eastAsia="方正仿宋简体" w:cs="Times New Roman"/>
                <w:b/>
                <w:bCs/>
              </w:rPr>
              <w:t>序号</w:t>
            </w:r>
          </w:p>
        </w:tc>
        <w:tc>
          <w:tcPr>
            <w:tcW w:w="1245" w:type="dxa"/>
            <w:vAlign w:val="center"/>
          </w:tcPr>
          <w:p>
            <w:pPr>
              <w:jc w:val="center"/>
              <w:rPr>
                <w:rFonts w:hint="default" w:ascii="Times New Roman" w:hAnsi="Times New Roman" w:eastAsia="方正仿宋简体" w:cs="Times New Roman"/>
                <w:b/>
                <w:bCs/>
                <w:sz w:val="24"/>
              </w:rPr>
            </w:pPr>
            <w:r>
              <w:rPr>
                <w:rFonts w:hint="default" w:ascii="Times New Roman" w:hAnsi="Times New Roman" w:eastAsia="方正仿宋简体" w:cs="Times New Roman"/>
                <w:b/>
                <w:bCs/>
                <w:sz w:val="24"/>
              </w:rPr>
              <w:t>检查要素</w:t>
            </w:r>
          </w:p>
        </w:tc>
        <w:tc>
          <w:tcPr>
            <w:tcW w:w="7146" w:type="dxa"/>
            <w:vAlign w:val="center"/>
          </w:tcPr>
          <w:p>
            <w:pPr>
              <w:jc w:val="center"/>
              <w:rPr>
                <w:rFonts w:hint="default" w:ascii="Times New Roman" w:hAnsi="Times New Roman" w:eastAsia="方正仿宋简体" w:cs="Times New Roman"/>
                <w:b/>
                <w:bCs/>
                <w:sz w:val="24"/>
              </w:rPr>
            </w:pPr>
            <w:r>
              <w:rPr>
                <w:rFonts w:hint="default" w:ascii="Times New Roman" w:hAnsi="Times New Roman" w:eastAsia="方正仿宋简体" w:cs="Times New Roman"/>
                <w:b/>
                <w:bCs/>
                <w:sz w:val="24"/>
              </w:rPr>
              <w:t>具体描述</w:t>
            </w:r>
          </w:p>
        </w:tc>
        <w:tc>
          <w:tcPr>
            <w:tcW w:w="3681" w:type="dxa"/>
            <w:vAlign w:val="center"/>
          </w:tcPr>
          <w:p>
            <w:pPr>
              <w:jc w:val="center"/>
              <w:rPr>
                <w:rFonts w:hint="default" w:ascii="Times New Roman" w:hAnsi="Times New Roman" w:eastAsia="方正仿宋简体" w:cs="Times New Roman"/>
                <w:b/>
                <w:bCs/>
                <w:sz w:val="24"/>
              </w:rPr>
            </w:pPr>
            <w:r>
              <w:rPr>
                <w:rFonts w:hint="default" w:ascii="Times New Roman" w:hAnsi="Times New Roman" w:eastAsia="方正仿宋简体" w:cs="Times New Roman"/>
                <w:b/>
                <w:bCs/>
                <w:sz w:val="24"/>
              </w:rPr>
              <w:t>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工商营业执照</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企业应依法依规取得有关部门核发的工商营业执照</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《中华人民共和国企业法人登记管理条例》第二、三条《中华人民共和国企业法人登记管理条例施行细则》第六十三条、《中华人民共和国公司法》第七条等。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2</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危险化学品经营许可证</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企业应依法依规取得有关部门核发的危险化学品生产、储存、经营、运输企业应用许可</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《危险化学品安全管理条例》（国务院令第591号）第六条、第十四条、第六十六条、《危险化学品登记管理办法》国家安全生产监督管理总局令第53号第十六条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3</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“三同时”资料</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危险化学品生产、经营、使用企业未经正规设计的在役危险化学品生产装置以及构成重大危险源的储存装置</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《云南省安全生产监督管理局关于开展危险化学品企业在役化工装置安全设计诊断工作的通知》2014.5、《危险化学品建设项目安全监督管理办法》45号令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4</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kern w:val="0"/>
                <w:sz w:val="20"/>
              </w:rPr>
              <w:t>三类人员取证</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生产经营单位应当进行安全培训的从业人员包括主要负责人、安全生产管理人员、特种作业人员和其他从业人员</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《生产经营单位安全培训规定》（国家安全生产监督管理总局第3号令）来开展的。其中第四条、第六条、第十二条、第三十三条等条款中有相关规定涉及到高危行业主要负责人、安全生产管理人员取证范围。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5</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主要负责人及领导层职责</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企业领导层应按照安全生产责任制的相关要求，履行其在安全生产工作职责。</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《企业安全生产标准化基本规范》5.1.2.2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6</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工伤保险</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国家鼓励生产经营单位投保安全生产责任保险</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《安全生产法》第51条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《安全生产责任保险实施办法》第六条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7</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安全生产费用投入</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企业应建立安全生产投入保障制度，按规定提取和使用安全生产费用，建立安全生产投入费用计划和使用台账，用于改善安全生产和职业卫生条件支出</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《安全生产法》第23条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《企业安全生产标准化基本规范》5.1.3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8</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安全教育培训</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应开展安全文化建设，开展多种形式的安全文化活动，营造领导重视安全的氛围，使各级领导具备安全的知识、技能和领导力，引导全员的安全态度和安全行为，逐步形成为全员所认同、共同遵守、带有本企业特点的安全价值观和安全理念，实现安全自我约束，促进企业安全生产和职业卫生管理水平持续提高。</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《安全生产法》第28条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《企业安全生产标准化基本规范》5.1.4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9</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安全隐患排查治理</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企业应对事故隐患排查治理情况如实记录，并定期进行统计分析，及时向从业人员进行通报，并按照当地安全监管部门和有关部门的要求，定期报送隐患排查治理情况。</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《安全生产法》第4条、第101条</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《企业安全生产标准化基本规范》5.5.1.4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10</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应急救援预案演练</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应急预案应根据有关规定报当地主管部门备案，并通报有关应急协作单位。2.应急预案应定期评估，并根据评估结果或实际情况的变化进行修订和完善。3.企业应定期组织生产安全事故应急演练，并对演练效果进行评估。根据评估结果，修订、完善应急预案，改进应急管理工作。</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《企业安全生产标准化基本规范》5.6.1.2、5.6.1.3、5.6.1.4、5.6.1.5、《生产安全事故应急预案管理办法》2号第26条、第33条、35条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11</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应急救援器材</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企业应按规定和可能发生的事故种类特点设置应急设施，配备应急装备，储备应急物资，并进行经常性的检查、维护、保养，确保其完好、可靠，建立管理台账，设置专人负责管理。</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《企业安全生产标准化基本规范》5.6.1.3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12</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规章制度与</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操作规程</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应建立识别和获取适用、现行有效的安全生产和职业卫生法律法规、标准规范的制度，明确主管部门，确定获取的渠道、方式，及时识别和获取适用的安全生产和职业卫生法律法规、标准规范，建立法律法规、标准规范清单和文本数据库。</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《企业安全生产标准化基本规范》5.2.1《生产安全事故应急预案管理办法》2号第38条、第45条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13</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防雷检测</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防雷接地系统作为一种重要的安全设备，必须在使用前进行严格检测，以确保其可靠性和安全性</w:t>
            </w:r>
          </w:p>
        </w:tc>
        <w:tc>
          <w:tcPr>
            <w:tcW w:w="368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GB50057-2010 第 3.0.3 GBT32937-2016第5.2.1条、GB/T21431-2015第6条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14</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作业人员</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4.1气瓶搬运、装卸、储存和使用作业人员应按有关规定持证上岗。</w:t>
            </w:r>
          </w:p>
        </w:tc>
        <w:tc>
          <w:tcPr>
            <w:tcW w:w="368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《气瓶搬运</w:t>
            </w:r>
            <w:r>
              <w:rPr>
                <w:rFonts w:hint="default" w:ascii="Times New Roman" w:hAnsi="Times New Roman" w:eastAsia="方正仿宋简体" w:cs="Times New Roman"/>
                <w:sz w:val="20"/>
                <w:lang w:eastAsia="zh-CN"/>
              </w:rPr>
              <w:t>、</w:t>
            </w:r>
            <w:r>
              <w:rPr>
                <w:rFonts w:hint="default" w:ascii="Times New Roman" w:hAnsi="Times New Roman" w:eastAsia="方正仿宋简体" w:cs="Times New Roman"/>
                <w:sz w:val="20"/>
              </w:rPr>
              <w:t>装卸</w:t>
            </w:r>
            <w:r>
              <w:rPr>
                <w:rFonts w:hint="default" w:ascii="Times New Roman" w:hAnsi="Times New Roman" w:eastAsia="方正仿宋简体" w:cs="Times New Roman"/>
                <w:sz w:val="20"/>
                <w:lang w:eastAsia="zh-CN"/>
              </w:rPr>
              <w:t>、</w:t>
            </w:r>
            <w:r>
              <w:rPr>
                <w:rFonts w:hint="default" w:ascii="Times New Roman" w:hAnsi="Times New Roman" w:eastAsia="方正仿宋简体" w:cs="Times New Roman"/>
                <w:sz w:val="20"/>
              </w:rPr>
              <w:t>储存和使用安全规定GB/T34525-2017</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《道路运输从业人员管理规定》（中华人民共和国交通运输部令2022年第38号）第二条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15</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劳动防护</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5.1作业单位应配备必要的劳动防护用品和现场急救用具。5.2作业人员作业时,应穿戴相应的防护用具,并采取相应的人身肌体保护措施。5.3作业单位应负责定期对作业人员进行健康检查和事故预防、急救知识的培训。</w:t>
            </w:r>
          </w:p>
        </w:tc>
        <w:tc>
          <w:tcPr>
            <w:tcW w:w="368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5" w:hRule="atLeast"/>
          <w:jc w:val="center"/>
        </w:trPr>
        <w:tc>
          <w:tcPr>
            <w:tcW w:w="71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16</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气瓶入库储存</w:t>
            </w:r>
          </w:p>
        </w:tc>
        <w:tc>
          <w:tcPr>
            <w:tcW w:w="714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8.2.1气瓶的储存应有专人负责管理。8.2.2入库的空瓶、实瓶和不合格瓶应分别存放,并有明显区域和标志。8.2.3储存不同性质的气瓶,其配装应按JT617规定的要求执行。8.2.4气瓶入库后,应将气瓶加以固定,防止气瓶倾倒。8.2.5对于限期储存的气体按GB/T26571规范要求存放并标明存放期限。</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r>
              <w:rPr>
                <w:rFonts w:hint="default" w:ascii="Times New Roman" w:hAnsi="Times New Roman" w:eastAsia="方正仿宋简体" w:cs="Times New Roman"/>
                <w:sz w:val="20"/>
              </w:rPr>
              <w:t>8.2.6气瓶在存放期间,应定时测试库内的温度和湿度,并作记录。库房最高允许温度和湿度视瓶装气体性质而定,必要时可设温控报警装置。8.2.7气瓶在库房内应摆放整齐,数量、号位的标志要明显。要留有可供气瓶短距离搬运的通道。8.2.8有毒、可燃气体的库房和氧气及惰性气体的库房,应设置相应气体的危险性浓度检测报警装置。8.2.9发现气瓶漏气,首先应根据气体性质做好相应的人体保护,在保证安全的前提下,关紧瓶阀,如果瓶阀失控或漏气不在瓶阀上,应采取应急处理措施。8.2.10应定期对库房内外的用电设备、安全防护设施进行检查。8.2.11应建立并执行气瓶出入库制度,并做到瓶库账目清楚,数量准确,按时盘点,账物相符,做到先入先出。8.2.12气瓶出入库时,库房管理员应认真填写气瓶出入库登记表,内容包括</w:t>
            </w:r>
            <w:r>
              <w:rPr>
                <w:rFonts w:hint="default" w:ascii="Times New Roman" w:hAnsi="Times New Roman" w:eastAsia="方正仿宋简体" w:cs="Times New Roman"/>
                <w:sz w:val="20"/>
                <w:lang w:eastAsia="zh-CN"/>
              </w:rPr>
              <w:t>：</w:t>
            </w:r>
            <w:r>
              <w:rPr>
                <w:rFonts w:hint="default" w:ascii="Times New Roman" w:hAnsi="Times New Roman" w:eastAsia="方正仿宋简体" w:cs="Times New Roman"/>
                <w:sz w:val="20"/>
              </w:rPr>
              <w:t>气体名称、气瓶编号、出入库日期、使用单位、作业人等。</w:t>
            </w:r>
          </w:p>
        </w:tc>
        <w:tc>
          <w:tcPr>
            <w:tcW w:w="3681"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0"/>
              </w:rPr>
            </w:pP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简体" w:cs="Times New Roman"/>
          <w:sz w:val="24"/>
        </w:rPr>
      </w:pPr>
    </w:p>
    <w:sectPr>
      <w:footerReference r:id="rId5" w:type="default"/>
      <w:pgSz w:w="16838" w:h="11906" w:orient="landscape"/>
      <w:pgMar w:top="1587" w:right="2098" w:bottom="1474" w:left="1985" w:header="851" w:footer="1587" w:gutter="0"/>
      <w:cols w:space="0" w:num="1"/>
      <w:rtlGutter w:val="0"/>
      <w:docGrid w:type="line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nforcement="0"/>
  <w:defaultTabStop w:val="420"/>
  <w:hyphenationZone w:val="360"/>
  <w:drawingGridVerticalSpacing w:val="22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NWY4ZDJiYjVjYjAzZDRlMmZiMzY3MjY1YjYwMzUifQ=="/>
  </w:docVars>
  <w:rsids>
    <w:rsidRoot w:val="6D59676B"/>
    <w:rsid w:val="00043D54"/>
    <w:rsid w:val="00137522"/>
    <w:rsid w:val="00675785"/>
    <w:rsid w:val="0069312F"/>
    <w:rsid w:val="00806E01"/>
    <w:rsid w:val="00E308D4"/>
    <w:rsid w:val="00F3011C"/>
    <w:rsid w:val="02E23AFB"/>
    <w:rsid w:val="10C14283"/>
    <w:rsid w:val="18591DD0"/>
    <w:rsid w:val="1B313694"/>
    <w:rsid w:val="2B113978"/>
    <w:rsid w:val="483877E0"/>
    <w:rsid w:val="584C4935"/>
    <w:rsid w:val="64D06FC0"/>
    <w:rsid w:val="6D59676B"/>
    <w:rsid w:val="70A34AE5"/>
    <w:rsid w:val="72872262"/>
    <w:rsid w:val="75E343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6" w:lineRule="exact"/>
      <w:jc w:val="both"/>
    </w:pPr>
    <w:rPr>
      <w:rFonts w:ascii="方正仿宋简体" w:hAnsi="等线" w:eastAsia="方正仿宋简体" w:cs="Times New Roman"/>
      <w:kern w:val="2"/>
      <w:sz w:val="32"/>
      <w:szCs w:val="32"/>
      <w:lang w:val="en-US" w:eastAsia="zh-CN" w:bidi="ar-SA"/>
    </w:rPr>
  </w:style>
  <w:style w:type="paragraph" w:styleId="5">
    <w:name w:val="heading 1"/>
    <w:basedOn w:val="6"/>
    <w:next w:val="1"/>
    <w:link w:val="13"/>
    <w:qFormat/>
    <w:uiPriority w:val="9"/>
    <w:pPr>
      <w:outlineLvl w:val="0"/>
    </w:pPr>
  </w:style>
  <w:style w:type="character" w:default="1" w:styleId="12">
    <w:name w:val="Default Paragraph Font"/>
    <w:unhideWhenUsed/>
    <w:uiPriority w:val="1"/>
  </w:style>
  <w:style w:type="table" w:default="1" w:styleId="10">
    <w:name w:val="Normal Table"/>
    <w:unhideWhenUsed/>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next w:val="4"/>
    <w:qFormat/>
    <w:uiPriority w:val="1"/>
    <w:rPr>
      <w:rFonts w:ascii="方正仿宋_GBK" w:hAnsi="方正仿宋_GBK" w:eastAsia="方正仿宋_GBK" w:cs="方正仿宋_GBK"/>
      <w:sz w:val="30"/>
      <w:szCs w:val="30"/>
      <w:lang w:val="zh-CN" w:eastAsia="zh-CN" w:bidi="zh-CN"/>
    </w:rPr>
  </w:style>
  <w:style w:type="paragraph" w:styleId="4">
    <w:name w:val="toc 5"/>
    <w:basedOn w:val="1"/>
    <w:next w:val="1"/>
    <w:qFormat/>
    <w:uiPriority w:val="99"/>
    <w:pPr>
      <w:ind w:left="1680"/>
    </w:pPr>
  </w:style>
  <w:style w:type="paragraph" w:customStyle="1" w:styleId="6">
    <w:name w:val="标题A"/>
    <w:basedOn w:val="1"/>
    <w:link w:val="14"/>
    <w:qFormat/>
    <w:uiPriority w:val="0"/>
    <w:pPr>
      <w:spacing w:line="576" w:lineRule="exact"/>
    </w:pPr>
    <w:rPr>
      <w:rFonts w:ascii="方正小标宋简体" w:eastAsia="方正小标宋简体"/>
      <w:sz w:val="44"/>
      <w:szCs w:val="44"/>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标题 1 字符"/>
    <w:link w:val="5"/>
    <w:uiPriority w:val="9"/>
    <w:rPr>
      <w:rFonts w:ascii="方正小标宋简体" w:eastAsia="方正小标宋简体"/>
      <w:kern w:val="2"/>
      <w:sz w:val="44"/>
      <w:szCs w:val="44"/>
    </w:rPr>
  </w:style>
  <w:style w:type="character" w:customStyle="1" w:styleId="14">
    <w:name w:val="标题A 字符"/>
    <w:link w:val="6"/>
    <w:uiPriority w:val="0"/>
    <w:rPr>
      <w:rFonts w:ascii="方正小标宋简体" w:eastAsia="方正小标宋简体"/>
      <w:kern w:val="2"/>
      <w:sz w:val="44"/>
      <w:szCs w:val="44"/>
    </w:rPr>
  </w:style>
  <w:style w:type="character" w:customStyle="1" w:styleId="15">
    <w:name w:val="第三层加黑 字符"/>
    <w:link w:val="16"/>
    <w:uiPriority w:val="0"/>
    <w:rPr>
      <w:rFonts w:ascii="方正仿宋简体" w:eastAsia="方正仿宋简体"/>
      <w:b/>
      <w:kern w:val="2"/>
      <w:sz w:val="32"/>
      <w:szCs w:val="32"/>
    </w:rPr>
  </w:style>
  <w:style w:type="paragraph" w:customStyle="1" w:styleId="16">
    <w:name w:val="第三层加黑"/>
    <w:basedOn w:val="1"/>
    <w:link w:val="15"/>
    <w:qFormat/>
    <w:uiPriority w:val="0"/>
    <w:pPr>
      <w:spacing w:line="576" w:lineRule="exact"/>
    </w:pPr>
    <w:rPr>
      <w:rFonts w:ascii="方正仿宋简体" w:eastAsia="方正仿宋简体"/>
      <w:b/>
      <w:sz w:val="32"/>
      <w:szCs w:val="32"/>
    </w:rPr>
  </w:style>
  <w:style w:type="character" w:customStyle="1" w:styleId="17">
    <w:name w:val="第二层标题 字符"/>
    <w:link w:val="18"/>
    <w:uiPriority w:val="0"/>
    <w:rPr>
      <w:rFonts w:ascii="方正楷体简体" w:eastAsia="方正楷体简体"/>
      <w:kern w:val="2"/>
      <w:sz w:val="32"/>
      <w:szCs w:val="32"/>
    </w:rPr>
  </w:style>
  <w:style w:type="paragraph" w:customStyle="1" w:styleId="18">
    <w:name w:val="第二层标题"/>
    <w:basedOn w:val="1"/>
    <w:link w:val="17"/>
    <w:qFormat/>
    <w:uiPriority w:val="0"/>
    <w:pPr>
      <w:ind w:firstLine="200" w:firstLineChars="200"/>
    </w:pPr>
    <w:rPr>
      <w:rFonts w:ascii="方正楷体简体" w:eastAsia="方正楷体简体"/>
      <w:sz w:val="32"/>
      <w:szCs w:val="32"/>
    </w:rPr>
  </w:style>
  <w:style w:type="character" w:customStyle="1" w:styleId="19">
    <w:name w:val="第一层标题 字符"/>
    <w:link w:val="20"/>
    <w:qFormat/>
    <w:uiPriority w:val="0"/>
    <w:rPr>
      <w:rFonts w:ascii="方正黑体简体" w:eastAsia="方正黑体简体"/>
      <w:kern w:val="2"/>
      <w:sz w:val="32"/>
      <w:szCs w:val="32"/>
    </w:rPr>
  </w:style>
  <w:style w:type="paragraph" w:customStyle="1" w:styleId="20">
    <w:name w:val="第一层标题"/>
    <w:basedOn w:val="1"/>
    <w:link w:val="19"/>
    <w:qFormat/>
    <w:uiPriority w:val="0"/>
    <w:pPr>
      <w:ind w:firstLine="200" w:firstLineChars="200"/>
    </w:pPr>
    <w:rPr>
      <w:rFonts w:ascii="方正黑体简体" w:eastAsia="方正黑体简体"/>
      <w:sz w:val="32"/>
      <w:szCs w:val="32"/>
    </w:rPr>
  </w:style>
  <w:style w:type="character" w:customStyle="1" w:styleId="21">
    <w:name w:val="第三层正文不加黑 字符"/>
    <w:link w:val="22"/>
    <w:qFormat/>
    <w:uiPriority w:val="0"/>
    <w:rPr>
      <w:rFonts w:ascii="方正仿宋简体" w:eastAsia="方正仿宋简体"/>
      <w:kern w:val="2"/>
      <w:sz w:val="32"/>
      <w:szCs w:val="32"/>
    </w:rPr>
  </w:style>
  <w:style w:type="paragraph" w:customStyle="1" w:styleId="22">
    <w:name w:val="第三层正文不加黑"/>
    <w:basedOn w:val="1"/>
    <w:link w:val="21"/>
    <w:qFormat/>
    <w:uiPriority w:val="0"/>
    <w:pPr>
      <w:spacing w:line="576" w:lineRule="exact"/>
    </w:pPr>
    <w:rPr>
      <w:rFonts w:ascii="方正仿宋简体" w:eastAsia="方正仿宋简体"/>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844;&#25991;&#27169;&#29256;1.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公文模版1.02.dot</Template>
  <Pages>1</Pages>
  <Words>24</Words>
  <Characters>26</Characters>
  <Lines>1</Lines>
  <Paragraphs>1</Paragraphs>
  <TotalTime>8</TotalTime>
  <ScaleCrop>false</ScaleCrop>
  <LinksUpToDate>false</LinksUpToDate>
  <CharactersWithSpaces>26</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2024-03-13T02:04:00Z</dcterms:created>
  <dc:creator>♥️小强哥哥♥️</dc:creator>
  <cp:lastModifiedBy>Administrator</cp:lastModifiedBy>
  <dcterms:modified xsi:type="dcterms:W3CDTF">2024-03-29T07:25:59Z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63F1BD0742694ED4A1C30F63D2545533</vt:lpwstr>
  </property>
</Properties>
</file>